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A4F5" w14:textId="77777777" w:rsidR="00DE1106" w:rsidRPr="00A263D1" w:rsidRDefault="00DE1106" w:rsidP="00DE1106">
      <w:pPr>
        <w:pStyle w:val="Brdtekst"/>
        <w:spacing w:line="276" w:lineRule="auto"/>
        <w:jc w:val="center"/>
        <w:rPr>
          <w:rFonts w:ascii="Arial" w:hAnsi="Arial" w:cs="Arial"/>
          <w:b/>
          <w:bCs/>
          <w:lang w:val="en-GB"/>
        </w:rPr>
      </w:pPr>
    </w:p>
    <w:p w14:paraId="590142E3" w14:textId="77777777" w:rsidR="00DE1106" w:rsidRPr="00A263D1" w:rsidRDefault="00DE1106" w:rsidP="00DE1106">
      <w:pPr>
        <w:pStyle w:val="Brdtekst"/>
        <w:spacing w:line="276" w:lineRule="auto"/>
        <w:jc w:val="center"/>
        <w:rPr>
          <w:rFonts w:ascii="Arial" w:hAnsi="Arial" w:cs="Arial"/>
          <w:b/>
          <w:bCs/>
          <w:lang w:val="en-GB"/>
        </w:rPr>
      </w:pPr>
    </w:p>
    <w:p w14:paraId="206FF048" w14:textId="77777777" w:rsidR="00DE1106" w:rsidRPr="00A263D1" w:rsidRDefault="00DE1106" w:rsidP="00DE1106">
      <w:pPr>
        <w:pStyle w:val="Brdtekst"/>
        <w:spacing w:line="276" w:lineRule="auto"/>
        <w:jc w:val="center"/>
        <w:rPr>
          <w:rFonts w:ascii="Arial" w:hAnsi="Arial" w:cs="Arial"/>
          <w:b/>
          <w:bCs/>
          <w:lang w:val="en-GB"/>
        </w:rPr>
      </w:pPr>
    </w:p>
    <w:p w14:paraId="0161D0A1" w14:textId="77777777" w:rsidR="00DE1106" w:rsidRPr="00A263D1" w:rsidRDefault="00DE1106" w:rsidP="00DE1106">
      <w:pPr>
        <w:pStyle w:val="Brdtekst"/>
        <w:spacing w:line="276" w:lineRule="auto"/>
        <w:jc w:val="center"/>
        <w:rPr>
          <w:rFonts w:ascii="Arial" w:hAnsi="Arial" w:cs="Arial"/>
          <w:b/>
          <w:bCs/>
          <w:lang w:val="en-GB"/>
        </w:rPr>
      </w:pPr>
    </w:p>
    <w:p w14:paraId="208D5521" w14:textId="77777777" w:rsidR="00DE1106" w:rsidRPr="00A263D1" w:rsidRDefault="00DE1106" w:rsidP="00DE1106">
      <w:pPr>
        <w:pStyle w:val="Brdtekst"/>
        <w:spacing w:line="276" w:lineRule="auto"/>
        <w:jc w:val="center"/>
        <w:rPr>
          <w:rFonts w:ascii="Arial" w:hAnsi="Arial" w:cs="Arial"/>
          <w:b/>
          <w:bCs/>
          <w:lang w:val="en-GB"/>
        </w:rPr>
      </w:pPr>
    </w:p>
    <w:p w14:paraId="6907A602" w14:textId="7184C102" w:rsidR="00DE1106" w:rsidRPr="00A263D1" w:rsidRDefault="00D676FD" w:rsidP="00D676FD">
      <w:pPr>
        <w:pStyle w:val="Brdtekst"/>
        <w:tabs>
          <w:tab w:val="left" w:pos="7396"/>
        </w:tabs>
        <w:spacing w:line="276" w:lineRule="auto"/>
        <w:jc w:val="left"/>
        <w:rPr>
          <w:rFonts w:ascii="Arial" w:hAnsi="Arial" w:cs="Arial"/>
          <w:b/>
          <w:bCs/>
          <w:lang w:val="en-GB"/>
        </w:rPr>
      </w:pPr>
      <w:r>
        <w:rPr>
          <w:rFonts w:ascii="Arial" w:hAnsi="Arial" w:cs="Arial"/>
          <w:b/>
          <w:bCs/>
          <w:lang w:val="en-GB"/>
        </w:rPr>
        <w:tab/>
      </w:r>
    </w:p>
    <w:p w14:paraId="657889F5" w14:textId="77777777" w:rsidR="00DE1106" w:rsidRPr="00A263D1" w:rsidRDefault="00DE1106" w:rsidP="00DE1106">
      <w:pPr>
        <w:pStyle w:val="Brdtekst"/>
        <w:spacing w:line="276" w:lineRule="auto"/>
        <w:jc w:val="center"/>
        <w:rPr>
          <w:rFonts w:ascii="Arial" w:hAnsi="Arial" w:cs="Arial"/>
          <w:b/>
          <w:bCs/>
          <w:lang w:val="en-GB"/>
        </w:rPr>
      </w:pPr>
    </w:p>
    <w:p w14:paraId="5C515B76" w14:textId="77777777" w:rsidR="00DE1106" w:rsidRPr="00A263D1" w:rsidRDefault="00DE1106" w:rsidP="00DE1106">
      <w:pPr>
        <w:pStyle w:val="Brdtekst"/>
        <w:spacing w:line="276" w:lineRule="auto"/>
        <w:jc w:val="center"/>
        <w:rPr>
          <w:rFonts w:ascii="Arial" w:hAnsi="Arial" w:cs="Arial"/>
          <w:b/>
          <w:bCs/>
          <w:lang w:val="en-GB"/>
        </w:rPr>
      </w:pPr>
    </w:p>
    <w:p w14:paraId="382EA771" w14:textId="77777777" w:rsidR="00DE1106" w:rsidRPr="00A263D1" w:rsidRDefault="00DE1106" w:rsidP="00DE1106">
      <w:pPr>
        <w:pStyle w:val="Brdtekst"/>
        <w:spacing w:line="276" w:lineRule="auto"/>
        <w:jc w:val="center"/>
        <w:rPr>
          <w:rFonts w:ascii="Arial" w:hAnsi="Arial" w:cs="Arial"/>
          <w:b/>
          <w:bCs/>
          <w:lang w:val="en-GB"/>
        </w:rPr>
      </w:pPr>
    </w:p>
    <w:p w14:paraId="70DA7144" w14:textId="77777777" w:rsidR="00DE1106" w:rsidRPr="00A263D1" w:rsidRDefault="00DE1106" w:rsidP="00DE1106">
      <w:pPr>
        <w:pStyle w:val="Brdtekst"/>
        <w:spacing w:line="276" w:lineRule="auto"/>
        <w:jc w:val="center"/>
        <w:rPr>
          <w:rFonts w:ascii="Arial" w:hAnsi="Arial" w:cs="Arial"/>
          <w:b/>
          <w:bCs/>
          <w:lang w:val="en-GB"/>
        </w:rPr>
      </w:pPr>
    </w:p>
    <w:p w14:paraId="07382808" w14:textId="77777777" w:rsidR="00DE1106" w:rsidRPr="00A263D1" w:rsidRDefault="00DE1106" w:rsidP="00DE1106">
      <w:pPr>
        <w:pStyle w:val="Brdtekst"/>
        <w:spacing w:line="276" w:lineRule="auto"/>
        <w:jc w:val="center"/>
        <w:rPr>
          <w:rFonts w:ascii="Arial" w:hAnsi="Arial" w:cs="Arial"/>
          <w:b/>
          <w:bCs/>
          <w:lang w:val="en-GB"/>
        </w:rPr>
      </w:pPr>
    </w:p>
    <w:p w14:paraId="106464CB" w14:textId="77777777" w:rsidR="00DE1106" w:rsidRPr="00A263D1" w:rsidRDefault="00DE1106" w:rsidP="00DE1106">
      <w:pPr>
        <w:pStyle w:val="Brdtekst"/>
        <w:spacing w:line="276" w:lineRule="auto"/>
        <w:jc w:val="center"/>
        <w:rPr>
          <w:rFonts w:ascii="Arial" w:hAnsi="Arial" w:cs="Arial"/>
          <w:b/>
          <w:bCs/>
          <w:lang w:val="en-GB"/>
        </w:rPr>
      </w:pPr>
    </w:p>
    <w:p w14:paraId="767B87D3" w14:textId="77777777" w:rsidR="00DE1106" w:rsidRPr="00A263D1" w:rsidRDefault="00DE1106" w:rsidP="00DE1106">
      <w:pPr>
        <w:pStyle w:val="Brdtekst"/>
        <w:spacing w:line="276" w:lineRule="auto"/>
        <w:jc w:val="center"/>
        <w:rPr>
          <w:rFonts w:ascii="Arial" w:hAnsi="Arial" w:cs="Arial"/>
          <w:b/>
          <w:bCs/>
          <w:lang w:val="en-GB"/>
        </w:rPr>
      </w:pPr>
    </w:p>
    <w:p w14:paraId="7C169FD0" w14:textId="77777777" w:rsidR="00DE1106" w:rsidRPr="00A263D1" w:rsidRDefault="00DE1106" w:rsidP="00DE1106">
      <w:pPr>
        <w:pStyle w:val="Brdtekst"/>
        <w:spacing w:line="276" w:lineRule="auto"/>
        <w:jc w:val="center"/>
        <w:rPr>
          <w:rFonts w:ascii="Arial" w:hAnsi="Arial" w:cs="Arial"/>
          <w:b/>
          <w:bCs/>
          <w:lang w:val="en-GB"/>
        </w:rPr>
      </w:pPr>
    </w:p>
    <w:p w14:paraId="0AFDD9A3" w14:textId="77777777" w:rsidR="00DE1106" w:rsidRPr="00A263D1" w:rsidRDefault="00DE1106" w:rsidP="00DE1106">
      <w:pPr>
        <w:pStyle w:val="Brdtekst"/>
        <w:spacing w:line="276" w:lineRule="auto"/>
        <w:jc w:val="center"/>
        <w:rPr>
          <w:rFonts w:ascii="Arial" w:hAnsi="Arial" w:cs="Arial"/>
          <w:b/>
          <w:bCs/>
          <w:lang w:val="en-GB"/>
        </w:rPr>
      </w:pPr>
    </w:p>
    <w:p w14:paraId="40A90883" w14:textId="77777777" w:rsidR="000F56F5" w:rsidRDefault="003A5F4C" w:rsidP="00DE1106">
      <w:pPr>
        <w:pStyle w:val="Brdtekst"/>
        <w:spacing w:line="276" w:lineRule="auto"/>
        <w:jc w:val="center"/>
        <w:rPr>
          <w:rFonts w:ascii="Arial" w:hAnsi="Arial" w:cs="Arial"/>
          <w:b/>
          <w:bCs/>
          <w:sz w:val="44"/>
          <w:szCs w:val="44"/>
          <w:lang w:val="en-GB"/>
        </w:rPr>
      </w:pPr>
      <w:r w:rsidRPr="00A263D1">
        <w:rPr>
          <w:rFonts w:ascii="Arial" w:hAnsi="Arial" w:cs="Arial"/>
          <w:b/>
          <w:bCs/>
          <w:sz w:val="44"/>
          <w:szCs w:val="44"/>
          <w:lang w:val="en-GB"/>
        </w:rPr>
        <w:t>A n</w:t>
      </w:r>
      <w:r w:rsidR="00CE03E7" w:rsidRPr="00A263D1">
        <w:rPr>
          <w:rFonts w:ascii="Arial" w:hAnsi="Arial" w:cs="Arial"/>
          <w:b/>
          <w:bCs/>
          <w:sz w:val="44"/>
          <w:szCs w:val="44"/>
          <w:lang w:val="en-GB"/>
        </w:rPr>
        <w:t xml:space="preserve">on-binding request for </w:t>
      </w:r>
      <w:r w:rsidRPr="00A263D1">
        <w:rPr>
          <w:rFonts w:ascii="Arial" w:hAnsi="Arial" w:cs="Arial"/>
          <w:b/>
          <w:bCs/>
          <w:sz w:val="44"/>
          <w:szCs w:val="44"/>
          <w:lang w:val="en-GB"/>
        </w:rPr>
        <w:t>the assess</w:t>
      </w:r>
      <w:r w:rsidR="00CE03E7" w:rsidRPr="00A263D1">
        <w:rPr>
          <w:rFonts w:ascii="Arial" w:hAnsi="Arial" w:cs="Arial"/>
          <w:b/>
          <w:bCs/>
          <w:sz w:val="44"/>
          <w:szCs w:val="44"/>
          <w:lang w:val="en-GB"/>
        </w:rPr>
        <w:t xml:space="preserve">ment of the firm capacity demand on the interconnection pursuant to Commission Regulation (EU) 2017/459 </w:t>
      </w:r>
    </w:p>
    <w:p w14:paraId="47930B6B" w14:textId="2FB86E38" w:rsidR="00DE1106" w:rsidRPr="00A263D1" w:rsidRDefault="00CE03E7" w:rsidP="00DE1106">
      <w:pPr>
        <w:pStyle w:val="Brdtekst"/>
        <w:spacing w:line="276" w:lineRule="auto"/>
        <w:jc w:val="center"/>
        <w:rPr>
          <w:rFonts w:ascii="Arial" w:hAnsi="Arial" w:cs="Arial"/>
          <w:b/>
          <w:bCs/>
          <w:sz w:val="44"/>
          <w:szCs w:val="44"/>
          <w:lang w:val="en-GB"/>
        </w:rPr>
      </w:pPr>
      <w:r w:rsidRPr="00A263D1">
        <w:rPr>
          <w:rFonts w:ascii="Arial" w:hAnsi="Arial" w:cs="Arial"/>
          <w:b/>
          <w:bCs/>
          <w:sz w:val="44"/>
          <w:szCs w:val="44"/>
          <w:lang w:val="en-GB"/>
        </w:rPr>
        <w:t>(Article</w:t>
      </w:r>
      <w:r w:rsidR="00DE1106" w:rsidRPr="00A263D1">
        <w:rPr>
          <w:rFonts w:ascii="Arial" w:hAnsi="Arial" w:cs="Arial"/>
          <w:b/>
          <w:bCs/>
          <w:sz w:val="44"/>
          <w:szCs w:val="44"/>
          <w:lang w:val="en-GB"/>
        </w:rPr>
        <w:t xml:space="preserve"> 26)</w:t>
      </w:r>
    </w:p>
    <w:p w14:paraId="6F29F377" w14:textId="77777777" w:rsidR="00DE1106" w:rsidRPr="00A263D1" w:rsidRDefault="00DE1106" w:rsidP="00DE1106">
      <w:pPr>
        <w:pStyle w:val="Signature"/>
        <w:spacing w:after="0"/>
        <w:jc w:val="center"/>
        <w:rPr>
          <w:rFonts w:ascii="Arial" w:hAnsi="Arial" w:cs="Arial"/>
          <w:sz w:val="24"/>
          <w:szCs w:val="24"/>
          <w:lang w:val="en-GB"/>
        </w:rPr>
      </w:pPr>
    </w:p>
    <w:p w14:paraId="376E1624" w14:textId="77777777" w:rsidR="00DE1106" w:rsidRPr="00A263D1" w:rsidRDefault="00DE1106" w:rsidP="00DE1106">
      <w:pPr>
        <w:pStyle w:val="Signature"/>
        <w:spacing w:after="0"/>
        <w:jc w:val="center"/>
        <w:rPr>
          <w:rFonts w:ascii="Arial" w:hAnsi="Arial" w:cs="Arial"/>
          <w:sz w:val="24"/>
          <w:szCs w:val="24"/>
          <w:lang w:val="en-GB"/>
        </w:rPr>
      </w:pPr>
    </w:p>
    <w:p w14:paraId="15542AF0" w14:textId="77777777" w:rsidR="00DE1106" w:rsidRPr="00A263D1" w:rsidRDefault="00DE1106" w:rsidP="00DE1106">
      <w:pPr>
        <w:pStyle w:val="Signature"/>
        <w:spacing w:after="0"/>
        <w:jc w:val="center"/>
        <w:rPr>
          <w:rFonts w:ascii="Arial" w:hAnsi="Arial" w:cs="Arial"/>
          <w:sz w:val="24"/>
          <w:szCs w:val="24"/>
          <w:lang w:val="en-GB"/>
        </w:rPr>
      </w:pPr>
    </w:p>
    <w:p w14:paraId="58FFF414" w14:textId="77777777" w:rsidR="00DE1106" w:rsidRPr="00A263D1" w:rsidRDefault="00DE1106" w:rsidP="00DE1106">
      <w:pPr>
        <w:pStyle w:val="Signature"/>
        <w:spacing w:after="0"/>
        <w:jc w:val="center"/>
        <w:rPr>
          <w:rFonts w:ascii="Arial" w:hAnsi="Arial" w:cs="Arial"/>
          <w:sz w:val="24"/>
          <w:szCs w:val="24"/>
          <w:lang w:val="en-GB"/>
        </w:rPr>
      </w:pPr>
    </w:p>
    <w:p w14:paraId="6E439AA0" w14:textId="77777777" w:rsidR="00DE1106" w:rsidRPr="00A263D1" w:rsidRDefault="00DE1106" w:rsidP="00DE1106">
      <w:pPr>
        <w:spacing w:line="276" w:lineRule="auto"/>
        <w:jc w:val="center"/>
        <w:rPr>
          <w:rFonts w:ascii="Arial" w:hAnsi="Arial" w:cs="Arial"/>
          <w:b/>
        </w:rPr>
      </w:pPr>
    </w:p>
    <w:p w14:paraId="328FD387" w14:textId="77777777" w:rsidR="00DE1106" w:rsidRPr="00A263D1" w:rsidRDefault="00DE1106" w:rsidP="00DE1106">
      <w:pPr>
        <w:spacing w:line="276" w:lineRule="auto"/>
        <w:jc w:val="center"/>
        <w:rPr>
          <w:rFonts w:ascii="Arial" w:hAnsi="Arial" w:cs="Arial"/>
          <w:b/>
        </w:rPr>
      </w:pPr>
    </w:p>
    <w:p w14:paraId="52B2AEFE" w14:textId="77777777" w:rsidR="00DE1106" w:rsidRPr="00A263D1" w:rsidRDefault="00DE1106" w:rsidP="00DE1106">
      <w:pPr>
        <w:spacing w:line="276" w:lineRule="auto"/>
        <w:jc w:val="center"/>
        <w:rPr>
          <w:rFonts w:ascii="Arial" w:hAnsi="Arial" w:cs="Arial"/>
          <w:b/>
        </w:rPr>
      </w:pPr>
    </w:p>
    <w:p w14:paraId="2BF03505" w14:textId="77777777" w:rsidR="00DE1106" w:rsidRPr="00A263D1" w:rsidRDefault="00DE1106" w:rsidP="00DE1106">
      <w:pPr>
        <w:spacing w:line="276" w:lineRule="auto"/>
        <w:jc w:val="center"/>
        <w:rPr>
          <w:rFonts w:ascii="Arial" w:hAnsi="Arial" w:cs="Arial"/>
          <w:b/>
        </w:rPr>
      </w:pPr>
    </w:p>
    <w:p w14:paraId="392EC620" w14:textId="77777777" w:rsidR="00A250FD" w:rsidRPr="00A263D1" w:rsidRDefault="00A250FD" w:rsidP="00DE1106">
      <w:pPr>
        <w:spacing w:line="276" w:lineRule="auto"/>
        <w:jc w:val="center"/>
        <w:rPr>
          <w:rFonts w:ascii="Arial" w:hAnsi="Arial" w:cs="Arial"/>
          <w:b/>
        </w:rPr>
      </w:pPr>
    </w:p>
    <w:p w14:paraId="52739423" w14:textId="77777777" w:rsidR="00A250FD" w:rsidRPr="00A263D1" w:rsidRDefault="00A250FD" w:rsidP="00DE1106">
      <w:pPr>
        <w:spacing w:line="276" w:lineRule="auto"/>
        <w:jc w:val="center"/>
        <w:rPr>
          <w:rFonts w:ascii="Arial" w:hAnsi="Arial" w:cs="Arial"/>
          <w:b/>
        </w:rPr>
      </w:pPr>
    </w:p>
    <w:p w14:paraId="3706ECBD" w14:textId="77777777" w:rsidR="00A250FD" w:rsidRPr="00A263D1" w:rsidRDefault="00A250FD" w:rsidP="00DE1106">
      <w:pPr>
        <w:spacing w:line="276" w:lineRule="auto"/>
        <w:jc w:val="center"/>
        <w:rPr>
          <w:rFonts w:ascii="Arial" w:hAnsi="Arial" w:cs="Arial"/>
          <w:b/>
        </w:rPr>
      </w:pPr>
    </w:p>
    <w:p w14:paraId="1FB4E953" w14:textId="77777777" w:rsidR="00DE1106" w:rsidRPr="00A263D1" w:rsidRDefault="00DE1106" w:rsidP="00DE1106">
      <w:pPr>
        <w:spacing w:line="276" w:lineRule="auto"/>
        <w:jc w:val="center"/>
        <w:rPr>
          <w:rFonts w:ascii="Arial" w:hAnsi="Arial" w:cs="Arial"/>
          <w:b/>
        </w:rPr>
      </w:pPr>
    </w:p>
    <w:p w14:paraId="7A67E6BF" w14:textId="77777777" w:rsidR="00DE1106" w:rsidRPr="00A263D1" w:rsidRDefault="00DE1106" w:rsidP="00DE1106">
      <w:pPr>
        <w:spacing w:line="276" w:lineRule="auto"/>
        <w:jc w:val="center"/>
        <w:rPr>
          <w:rFonts w:ascii="Arial" w:hAnsi="Arial" w:cs="Arial"/>
          <w:b/>
        </w:rPr>
      </w:pPr>
    </w:p>
    <w:p w14:paraId="7F0C262B" w14:textId="77777777" w:rsidR="00DE1106" w:rsidRPr="00A263D1" w:rsidRDefault="00DE1106" w:rsidP="00DE1106">
      <w:pPr>
        <w:spacing w:line="276" w:lineRule="auto"/>
        <w:jc w:val="center"/>
        <w:rPr>
          <w:rFonts w:ascii="Arial" w:hAnsi="Arial" w:cs="Arial"/>
          <w:b/>
        </w:rPr>
      </w:pPr>
    </w:p>
    <w:p w14:paraId="10213855" w14:textId="77777777" w:rsidR="00DE1106" w:rsidRPr="00A263D1" w:rsidRDefault="00DE1106" w:rsidP="00DE1106">
      <w:pPr>
        <w:spacing w:line="276" w:lineRule="auto"/>
        <w:jc w:val="center"/>
        <w:rPr>
          <w:rFonts w:ascii="Arial" w:hAnsi="Arial" w:cs="Arial"/>
          <w:b/>
        </w:rPr>
      </w:pPr>
    </w:p>
    <w:p w14:paraId="657AE054" w14:textId="366E6355" w:rsidR="00A250FD" w:rsidRPr="00A263D1" w:rsidRDefault="002A74A5" w:rsidP="00A250FD">
      <w:pPr>
        <w:spacing w:line="276" w:lineRule="auto"/>
        <w:jc w:val="center"/>
        <w:rPr>
          <w:rFonts w:ascii="Arial" w:hAnsi="Arial" w:cs="Arial"/>
          <w:b/>
        </w:rPr>
        <w:sectPr w:rsidR="00A250FD" w:rsidRPr="00A263D1" w:rsidSect="007A6510">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r w:rsidRPr="00A263D1">
        <w:rPr>
          <w:rFonts w:ascii="Arial" w:hAnsi="Arial" w:cs="Arial"/>
          <w:b/>
        </w:rPr>
        <w:t xml:space="preserve">Zagreb, </w:t>
      </w:r>
      <w:r w:rsidR="00262B48">
        <w:rPr>
          <w:rFonts w:ascii="Arial" w:hAnsi="Arial" w:cs="Arial"/>
          <w:b/>
        </w:rPr>
        <w:t>5</w:t>
      </w:r>
      <w:r w:rsidR="003A5F4C" w:rsidRPr="00A263D1">
        <w:rPr>
          <w:rFonts w:ascii="Arial" w:hAnsi="Arial" w:cs="Arial"/>
          <w:b/>
        </w:rPr>
        <w:t xml:space="preserve"> July</w:t>
      </w:r>
      <w:r w:rsidRPr="00A263D1">
        <w:rPr>
          <w:rFonts w:ascii="Arial" w:hAnsi="Arial" w:cs="Arial"/>
          <w:b/>
        </w:rPr>
        <w:t xml:space="preserve"> </w:t>
      </w:r>
      <w:r w:rsidR="00E9724D" w:rsidRPr="00A263D1">
        <w:rPr>
          <w:rFonts w:ascii="Arial" w:hAnsi="Arial" w:cs="Arial"/>
          <w:b/>
        </w:rPr>
        <w:t>20</w:t>
      </w:r>
      <w:r w:rsidR="00E9724D">
        <w:rPr>
          <w:rFonts w:ascii="Arial" w:hAnsi="Arial" w:cs="Arial"/>
          <w:b/>
        </w:rPr>
        <w:t>22</w:t>
      </w:r>
    </w:p>
    <w:p w14:paraId="35FCF359" w14:textId="77777777" w:rsidR="00DE1106" w:rsidRPr="00A263D1" w:rsidRDefault="00DE1106" w:rsidP="00DE1106">
      <w:pPr>
        <w:spacing w:line="276" w:lineRule="auto"/>
        <w:jc w:val="left"/>
        <w:rPr>
          <w:rFonts w:ascii="Arial" w:hAnsi="Arial" w:cs="Arial"/>
          <w:color w:val="222222"/>
        </w:rPr>
      </w:pPr>
    </w:p>
    <w:p w14:paraId="44106856" w14:textId="21AA4B00" w:rsidR="00DE1106" w:rsidRPr="00A263D1" w:rsidRDefault="003A5F4C" w:rsidP="00DE1106">
      <w:pPr>
        <w:pStyle w:val="Signature"/>
        <w:numPr>
          <w:ilvl w:val="0"/>
          <w:numId w:val="4"/>
        </w:numPr>
        <w:spacing w:before="240"/>
        <w:ind w:left="283" w:hanging="283"/>
        <w:jc w:val="both"/>
        <w:rPr>
          <w:rFonts w:ascii="Arial" w:eastAsia="Trebuchet MS" w:hAnsi="Arial" w:cs="Arial"/>
          <w:b/>
          <w:bCs/>
          <w:sz w:val="24"/>
          <w:szCs w:val="24"/>
          <w:lang w:val="en-GB"/>
        </w:rPr>
      </w:pPr>
      <w:r w:rsidRPr="00A263D1">
        <w:rPr>
          <w:rFonts w:ascii="Arial" w:hAnsi="Arial" w:cs="Arial"/>
          <w:b/>
          <w:bCs/>
          <w:sz w:val="24"/>
          <w:szCs w:val="24"/>
          <w:lang w:val="en-GB"/>
        </w:rPr>
        <w:t>Introduction</w:t>
      </w:r>
    </w:p>
    <w:p w14:paraId="447F7E43" w14:textId="43E58267" w:rsidR="00451A7E" w:rsidRPr="00A263D1" w:rsidRDefault="003A5F4C" w:rsidP="00DE1106">
      <w:pPr>
        <w:spacing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Pursuant to Article 26 of the Regulation 2017/459 (hereinafter referred to as:</w:t>
      </w:r>
      <w:r w:rsidR="00451A7E" w:rsidRPr="00A263D1">
        <w:rPr>
          <w:rFonts w:ascii="Arial" w:eastAsia="Calibri" w:hAnsi="Arial" w:cs="Arial"/>
          <w:color w:val="000000"/>
          <w:sz w:val="22"/>
          <w:szCs w:val="22"/>
          <w:u w:color="000000"/>
          <w:lang w:eastAsia="en-US"/>
        </w:rPr>
        <w:t xml:space="preserve"> CAM</w:t>
      </w:r>
      <w:r w:rsidRPr="00A263D1">
        <w:rPr>
          <w:rFonts w:ascii="Arial" w:eastAsia="Calibri" w:hAnsi="Arial" w:cs="Arial"/>
          <w:color w:val="000000"/>
          <w:sz w:val="22"/>
          <w:szCs w:val="22"/>
          <w:u w:color="000000"/>
          <w:lang w:eastAsia="en-US"/>
        </w:rPr>
        <w:t xml:space="preserve"> Regulation</w:t>
      </w:r>
      <w:r w:rsidR="00D676FD">
        <w:rPr>
          <w:rFonts w:ascii="Arial" w:eastAsia="Calibri" w:hAnsi="Arial" w:cs="Arial"/>
          <w:color w:val="000000"/>
          <w:sz w:val="22"/>
          <w:szCs w:val="22"/>
          <w:u w:color="000000"/>
          <w:lang w:eastAsia="en-US"/>
        </w:rPr>
        <w:t>),</w:t>
      </w:r>
      <w:r w:rsidRPr="00A263D1">
        <w:rPr>
          <w:rFonts w:ascii="Arial" w:eastAsia="Calibri" w:hAnsi="Arial" w:cs="Arial"/>
          <w:color w:val="000000"/>
          <w:sz w:val="22"/>
          <w:szCs w:val="22"/>
          <w:u w:color="000000"/>
          <w:lang w:eastAsia="en-US"/>
        </w:rPr>
        <w:t xml:space="preserve"> Plinacro is conducting an incremental capacity process</w:t>
      </w:r>
      <w:r w:rsidR="00D676FD" w:rsidRPr="00D676FD">
        <w:rPr>
          <w:rFonts w:ascii="Arial" w:eastAsia="Calibri" w:hAnsi="Arial" w:cs="Arial"/>
          <w:color w:val="000000"/>
          <w:sz w:val="22"/>
          <w:szCs w:val="22"/>
          <w:u w:color="000000"/>
          <w:lang w:eastAsia="en-US"/>
        </w:rPr>
        <w:t xml:space="preserve"> </w:t>
      </w:r>
      <w:r w:rsidR="00D676FD" w:rsidRPr="00A263D1">
        <w:rPr>
          <w:rFonts w:ascii="Arial" w:eastAsia="Calibri" w:hAnsi="Arial" w:cs="Arial"/>
          <w:color w:val="000000"/>
          <w:sz w:val="22"/>
          <w:szCs w:val="22"/>
          <w:u w:color="000000"/>
          <w:lang w:eastAsia="en-US"/>
        </w:rPr>
        <w:t xml:space="preserve">in </w:t>
      </w:r>
      <w:r w:rsidR="00E9724D">
        <w:rPr>
          <w:rFonts w:ascii="Arial" w:eastAsia="Calibri" w:hAnsi="Arial" w:cs="Arial"/>
          <w:color w:val="000000"/>
          <w:sz w:val="22"/>
          <w:szCs w:val="22"/>
          <w:u w:color="000000"/>
          <w:lang w:eastAsia="en-US"/>
        </w:rPr>
        <w:t>2022</w:t>
      </w:r>
      <w:r w:rsidR="00451A7E" w:rsidRPr="00A263D1">
        <w:rPr>
          <w:rFonts w:ascii="Arial" w:eastAsia="Calibri" w:hAnsi="Arial" w:cs="Arial"/>
          <w:color w:val="000000"/>
          <w:sz w:val="22"/>
          <w:szCs w:val="22"/>
          <w:u w:color="000000"/>
          <w:lang w:eastAsia="en-US"/>
        </w:rPr>
        <w:t>.</w:t>
      </w:r>
      <w:r w:rsidRPr="00A263D1">
        <w:rPr>
          <w:rFonts w:ascii="Arial" w:eastAsia="Calibri" w:hAnsi="Arial" w:cs="Arial"/>
          <w:color w:val="000000"/>
          <w:sz w:val="22"/>
          <w:szCs w:val="22"/>
          <w:u w:color="000000"/>
          <w:lang w:eastAsia="en-US"/>
        </w:rPr>
        <w:t xml:space="preserve"> As defined by CAM Regulation incremental capacity is any capacity beyond technical capacity </w:t>
      </w:r>
      <w:r w:rsidR="000F56F5">
        <w:rPr>
          <w:rFonts w:ascii="Arial" w:eastAsia="Calibri" w:hAnsi="Arial" w:cs="Arial"/>
          <w:color w:val="000000"/>
          <w:sz w:val="22"/>
          <w:szCs w:val="22"/>
          <w:u w:color="000000"/>
          <w:lang w:eastAsia="en-US"/>
        </w:rPr>
        <w:t>on</w:t>
      </w:r>
      <w:r w:rsidRPr="00A263D1">
        <w:rPr>
          <w:rFonts w:ascii="Arial" w:eastAsia="Calibri" w:hAnsi="Arial" w:cs="Arial"/>
          <w:color w:val="000000"/>
          <w:sz w:val="22"/>
          <w:szCs w:val="22"/>
          <w:u w:color="000000"/>
          <w:lang w:eastAsia="en-US"/>
        </w:rPr>
        <w:t xml:space="preserve"> the existing interconnection points, capacity relate</w:t>
      </w:r>
      <w:r w:rsidR="003F4768" w:rsidRPr="00A263D1">
        <w:rPr>
          <w:rFonts w:ascii="Arial" w:eastAsia="Calibri" w:hAnsi="Arial" w:cs="Arial"/>
          <w:color w:val="000000"/>
          <w:sz w:val="22"/>
          <w:szCs w:val="22"/>
          <w:u w:color="000000"/>
          <w:lang w:eastAsia="en-US"/>
        </w:rPr>
        <w:t xml:space="preserve">d to the establishment of a new interconnection point or a reverse flow capacity on the interconnection point at which gas was </w:t>
      </w:r>
      <w:r w:rsidR="000F56F5" w:rsidRPr="00A263D1">
        <w:rPr>
          <w:rFonts w:ascii="Arial" w:eastAsia="Calibri" w:hAnsi="Arial" w:cs="Arial"/>
          <w:color w:val="000000"/>
          <w:sz w:val="22"/>
          <w:szCs w:val="22"/>
          <w:u w:color="000000"/>
          <w:lang w:eastAsia="en-US"/>
        </w:rPr>
        <w:t xml:space="preserve">previously </w:t>
      </w:r>
      <w:r w:rsidR="003F4768" w:rsidRPr="00A263D1">
        <w:rPr>
          <w:rFonts w:ascii="Arial" w:eastAsia="Calibri" w:hAnsi="Arial" w:cs="Arial"/>
          <w:color w:val="000000"/>
          <w:sz w:val="22"/>
          <w:szCs w:val="22"/>
          <w:u w:color="000000"/>
          <w:lang w:eastAsia="en-US"/>
        </w:rPr>
        <w:t xml:space="preserve">flowing in one direction only. </w:t>
      </w:r>
    </w:p>
    <w:p w14:paraId="6A1BB411" w14:textId="77777777" w:rsidR="00451A7E" w:rsidRPr="00A263D1" w:rsidRDefault="00451A7E" w:rsidP="00DE1106">
      <w:pPr>
        <w:spacing w:line="276" w:lineRule="auto"/>
        <w:rPr>
          <w:rFonts w:ascii="Arial" w:eastAsia="Calibri" w:hAnsi="Arial" w:cs="Arial"/>
          <w:color w:val="000000"/>
          <w:sz w:val="22"/>
          <w:szCs w:val="22"/>
          <w:u w:color="000000"/>
          <w:lang w:eastAsia="en-US"/>
        </w:rPr>
      </w:pPr>
    </w:p>
    <w:p w14:paraId="24EED944" w14:textId="4C8DA48C" w:rsidR="00451A7E" w:rsidRPr="00A263D1" w:rsidRDefault="003F4768" w:rsidP="00DE1106">
      <w:pPr>
        <w:spacing w:line="276" w:lineRule="auto"/>
        <w:rPr>
          <w:rFonts w:ascii="Arial" w:eastAsia="Calibri" w:hAnsi="Arial" w:cs="Arial"/>
          <w:color w:val="000000"/>
          <w:sz w:val="22"/>
          <w:szCs w:val="22"/>
          <w:u w:color="000000"/>
          <w:lang w:eastAsia="en-US"/>
        </w:rPr>
      </w:pPr>
      <w:proofErr w:type="gramStart"/>
      <w:r w:rsidRPr="00A263D1">
        <w:rPr>
          <w:rFonts w:ascii="Arial" w:eastAsia="Calibri" w:hAnsi="Arial" w:cs="Arial"/>
          <w:color w:val="000000"/>
          <w:sz w:val="22"/>
          <w:szCs w:val="22"/>
          <w:u w:color="000000"/>
          <w:lang w:eastAsia="en-US"/>
        </w:rPr>
        <w:t>In order to</w:t>
      </w:r>
      <w:proofErr w:type="gramEnd"/>
      <w:r w:rsidRPr="00A263D1">
        <w:rPr>
          <w:rFonts w:ascii="Arial" w:eastAsia="Calibri" w:hAnsi="Arial" w:cs="Arial"/>
          <w:color w:val="000000"/>
          <w:sz w:val="22"/>
          <w:szCs w:val="22"/>
          <w:u w:color="000000"/>
          <w:lang w:eastAsia="en-US"/>
        </w:rPr>
        <w:t xml:space="preserve"> assess market demand for incremental capacity </w:t>
      </w:r>
      <w:r w:rsidR="000F56F5">
        <w:rPr>
          <w:rFonts w:ascii="Arial" w:eastAsia="Calibri" w:hAnsi="Arial" w:cs="Arial"/>
          <w:color w:val="000000"/>
          <w:sz w:val="22"/>
          <w:szCs w:val="22"/>
          <w:u w:color="000000"/>
          <w:lang w:eastAsia="en-US"/>
        </w:rPr>
        <w:t>Plinacro is conducting a procedure of assessing the market demand for incremental capacity on</w:t>
      </w:r>
      <w:r w:rsidRPr="00A263D1">
        <w:rPr>
          <w:rFonts w:ascii="Arial" w:eastAsia="Calibri" w:hAnsi="Arial" w:cs="Arial"/>
          <w:color w:val="000000"/>
          <w:sz w:val="22"/>
          <w:szCs w:val="22"/>
          <w:u w:color="000000"/>
          <w:lang w:eastAsia="en-US"/>
        </w:rPr>
        <w:t xml:space="preserve"> the existing interconnection points as well as possible need for constructing a new IP</w:t>
      </w:r>
      <w:r w:rsidR="000F56F5">
        <w:rPr>
          <w:rFonts w:ascii="Arial" w:eastAsia="Calibri" w:hAnsi="Arial" w:cs="Arial"/>
          <w:color w:val="000000"/>
          <w:sz w:val="22"/>
          <w:szCs w:val="22"/>
          <w:u w:color="000000"/>
          <w:lang w:eastAsia="en-US"/>
        </w:rPr>
        <w:t xml:space="preserve"> (interconnection point)</w:t>
      </w:r>
      <w:r w:rsidRPr="00A263D1">
        <w:rPr>
          <w:rFonts w:ascii="Arial" w:eastAsia="Calibri" w:hAnsi="Arial" w:cs="Arial"/>
          <w:color w:val="000000"/>
          <w:sz w:val="22"/>
          <w:szCs w:val="22"/>
          <w:u w:color="000000"/>
          <w:lang w:eastAsia="en-US"/>
        </w:rPr>
        <w:t xml:space="preserve">, that is, new IPs. </w:t>
      </w:r>
    </w:p>
    <w:p w14:paraId="7A11CCF5" w14:textId="77777777" w:rsidR="00AE3B4E" w:rsidRPr="00A263D1" w:rsidRDefault="00AE3B4E" w:rsidP="00DE1106">
      <w:pPr>
        <w:spacing w:line="276" w:lineRule="auto"/>
        <w:rPr>
          <w:rFonts w:ascii="Arial" w:eastAsia="Calibri" w:hAnsi="Arial" w:cs="Arial"/>
          <w:color w:val="000000"/>
          <w:sz w:val="22"/>
          <w:szCs w:val="22"/>
          <w:u w:color="000000"/>
          <w:lang w:eastAsia="en-US"/>
        </w:rPr>
      </w:pPr>
    </w:p>
    <w:p w14:paraId="17F0C93E" w14:textId="363D429F" w:rsidR="00AE3B4E" w:rsidRPr="00A263D1" w:rsidRDefault="000831A9" w:rsidP="00DE1106">
      <w:pPr>
        <w:spacing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Having in mind that during the fir</w:t>
      </w:r>
      <w:r w:rsidR="007C3901" w:rsidRPr="00A263D1">
        <w:rPr>
          <w:rFonts w:ascii="Arial" w:eastAsia="Calibri" w:hAnsi="Arial" w:cs="Arial"/>
          <w:color w:val="000000"/>
          <w:sz w:val="22"/>
          <w:szCs w:val="22"/>
          <w:u w:color="000000"/>
          <w:lang w:eastAsia="en-US"/>
        </w:rPr>
        <w:t>st incremental capacity process</w:t>
      </w:r>
      <w:r w:rsidR="003F4768" w:rsidRPr="00A263D1">
        <w:rPr>
          <w:rFonts w:ascii="Arial" w:eastAsia="Calibri" w:hAnsi="Arial" w:cs="Arial"/>
          <w:color w:val="000000"/>
          <w:sz w:val="22"/>
          <w:szCs w:val="22"/>
          <w:u w:color="000000"/>
          <w:lang w:eastAsia="en-US"/>
        </w:rPr>
        <w:t xml:space="preserve"> transmission system operators </w:t>
      </w:r>
      <w:r w:rsidR="003E5536">
        <w:rPr>
          <w:rFonts w:ascii="Arial" w:eastAsia="Calibri" w:hAnsi="Arial" w:cs="Arial"/>
          <w:color w:val="000000"/>
          <w:sz w:val="22"/>
          <w:szCs w:val="22"/>
          <w:u w:color="000000"/>
          <w:lang w:eastAsia="en-US"/>
        </w:rPr>
        <w:t xml:space="preserve">noticed that </w:t>
      </w:r>
      <w:r w:rsidR="007C3901" w:rsidRPr="00A263D1">
        <w:rPr>
          <w:rFonts w:ascii="Arial" w:eastAsia="Calibri" w:hAnsi="Arial" w:cs="Arial"/>
          <w:color w:val="000000"/>
          <w:sz w:val="22"/>
          <w:szCs w:val="22"/>
          <w:u w:color="000000"/>
          <w:lang w:eastAsia="en-US"/>
        </w:rPr>
        <w:t xml:space="preserve">suppliers and gas traders lack understanding </w:t>
      </w:r>
      <w:r w:rsidR="008951A9" w:rsidRPr="00A263D1">
        <w:rPr>
          <w:rFonts w:ascii="Arial" w:eastAsia="Calibri" w:hAnsi="Arial" w:cs="Arial"/>
          <w:color w:val="000000"/>
          <w:sz w:val="22"/>
          <w:szCs w:val="22"/>
          <w:u w:color="000000"/>
          <w:lang w:eastAsia="en-US"/>
        </w:rPr>
        <w:t xml:space="preserve">in the preparation of answers </w:t>
      </w:r>
      <w:r w:rsidR="003E5536">
        <w:rPr>
          <w:rFonts w:ascii="Arial" w:eastAsia="Calibri" w:hAnsi="Arial" w:cs="Arial"/>
          <w:color w:val="000000"/>
          <w:sz w:val="22"/>
          <w:szCs w:val="22"/>
          <w:u w:color="000000"/>
          <w:lang w:eastAsia="en-US"/>
        </w:rPr>
        <w:t>for</w:t>
      </w:r>
      <w:r w:rsidR="008951A9" w:rsidRPr="00A263D1">
        <w:rPr>
          <w:rFonts w:ascii="Arial" w:eastAsia="Calibri" w:hAnsi="Arial" w:cs="Arial"/>
          <w:color w:val="000000"/>
          <w:sz w:val="22"/>
          <w:szCs w:val="22"/>
          <w:u w:color="000000"/>
          <w:lang w:eastAsia="en-US"/>
        </w:rPr>
        <w:t xml:space="preserve"> </w:t>
      </w:r>
      <w:r w:rsidR="003E5536">
        <w:rPr>
          <w:rFonts w:ascii="Arial" w:eastAsia="Calibri" w:hAnsi="Arial" w:cs="Arial"/>
          <w:color w:val="000000"/>
          <w:sz w:val="22"/>
          <w:szCs w:val="22"/>
          <w:u w:color="000000"/>
          <w:lang w:eastAsia="en-US"/>
        </w:rPr>
        <w:t>adequate</w:t>
      </w:r>
      <w:r w:rsidR="008951A9" w:rsidRPr="00A263D1">
        <w:rPr>
          <w:rFonts w:ascii="Arial" w:eastAsia="Calibri" w:hAnsi="Arial" w:cs="Arial"/>
          <w:color w:val="000000"/>
          <w:sz w:val="22"/>
          <w:szCs w:val="22"/>
          <w:u w:color="000000"/>
          <w:lang w:eastAsia="en-US"/>
        </w:rPr>
        <w:t xml:space="preserve"> market assessment, Plinacro would like to highlight the following: </w:t>
      </w:r>
    </w:p>
    <w:p w14:paraId="0B651B48" w14:textId="77777777" w:rsidR="005A4278" w:rsidRPr="00A263D1" w:rsidRDefault="005A4278" w:rsidP="005A4278">
      <w:pPr>
        <w:spacing w:after="120" w:line="276" w:lineRule="auto"/>
        <w:rPr>
          <w:rFonts w:ascii="Arial" w:eastAsia="Calibri" w:hAnsi="Arial" w:cs="Arial"/>
          <w:color w:val="000000"/>
          <w:sz w:val="22"/>
          <w:szCs w:val="22"/>
          <w:u w:color="000000"/>
          <w:lang w:eastAsia="en-US"/>
        </w:rPr>
      </w:pPr>
    </w:p>
    <w:p w14:paraId="40D43EC5" w14:textId="0F870DDC" w:rsidR="005A4278" w:rsidRPr="00A263D1" w:rsidRDefault="008951A9" w:rsidP="005A4278">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A Form for submitting non-binding demand indi</w:t>
      </w:r>
      <w:r w:rsidR="003E5536">
        <w:rPr>
          <w:rFonts w:ascii="Arial" w:eastAsia="Calibri" w:hAnsi="Arial" w:cs="Arial"/>
          <w:color w:val="000000"/>
          <w:sz w:val="22"/>
          <w:szCs w:val="22"/>
          <w:u w:color="000000"/>
          <w:lang w:eastAsia="en-US"/>
        </w:rPr>
        <w:t>cations</w:t>
      </w:r>
      <w:r w:rsidRPr="00A263D1">
        <w:rPr>
          <w:rFonts w:ascii="Arial" w:eastAsia="Calibri" w:hAnsi="Arial" w:cs="Arial"/>
          <w:color w:val="000000"/>
          <w:sz w:val="22"/>
          <w:szCs w:val="22"/>
          <w:u w:color="000000"/>
          <w:lang w:eastAsia="en-US"/>
        </w:rPr>
        <w:t xml:space="preserve"> for firm capacity on interconnection points </w:t>
      </w:r>
      <w:r w:rsidR="007C3901" w:rsidRPr="00A263D1">
        <w:rPr>
          <w:rFonts w:ascii="Arial" w:eastAsia="Calibri" w:hAnsi="Arial" w:cs="Arial"/>
          <w:color w:val="000000"/>
          <w:sz w:val="22"/>
          <w:szCs w:val="22"/>
          <w:u w:color="000000"/>
          <w:lang w:eastAsia="en-US"/>
        </w:rPr>
        <w:t>(hereinafter referred to as</w:t>
      </w:r>
      <w:r w:rsidR="00B70957" w:rsidRPr="00A263D1">
        <w:rPr>
          <w:rFonts w:ascii="Arial" w:eastAsia="Calibri" w:hAnsi="Arial" w:cs="Arial"/>
          <w:color w:val="000000"/>
          <w:sz w:val="22"/>
          <w:szCs w:val="22"/>
          <w:u w:color="000000"/>
          <w:lang w:eastAsia="en-US"/>
        </w:rPr>
        <w:t xml:space="preserve">: </w:t>
      </w:r>
      <w:r w:rsidR="007C3901" w:rsidRPr="00A263D1">
        <w:rPr>
          <w:rFonts w:ascii="Arial" w:eastAsia="Calibri" w:hAnsi="Arial" w:cs="Arial"/>
          <w:color w:val="000000"/>
          <w:sz w:val="22"/>
          <w:szCs w:val="22"/>
          <w:u w:color="000000"/>
          <w:lang w:eastAsia="en-US"/>
        </w:rPr>
        <w:t>the Form</w:t>
      </w:r>
      <w:r w:rsidR="00B70957" w:rsidRPr="00A263D1">
        <w:rPr>
          <w:rFonts w:ascii="Arial" w:eastAsia="Calibri" w:hAnsi="Arial" w:cs="Arial"/>
          <w:color w:val="000000"/>
          <w:sz w:val="22"/>
          <w:szCs w:val="22"/>
          <w:u w:color="000000"/>
          <w:lang w:eastAsia="en-US"/>
        </w:rPr>
        <w:t>)</w:t>
      </w:r>
      <w:r w:rsidR="005A4278" w:rsidRPr="00A263D1">
        <w:rPr>
          <w:rFonts w:ascii="Arial" w:eastAsia="Calibri" w:hAnsi="Arial" w:cs="Arial"/>
          <w:color w:val="000000"/>
          <w:sz w:val="22"/>
          <w:szCs w:val="22"/>
          <w:u w:color="000000"/>
          <w:lang w:eastAsia="en-US"/>
        </w:rPr>
        <w:t xml:space="preserve"> </w:t>
      </w:r>
      <w:r w:rsidRPr="00A263D1">
        <w:rPr>
          <w:rFonts w:ascii="Arial" w:eastAsia="Calibri" w:hAnsi="Arial" w:cs="Arial"/>
          <w:color w:val="000000"/>
          <w:sz w:val="22"/>
          <w:szCs w:val="22"/>
          <w:u w:color="000000"/>
          <w:lang w:eastAsia="en-US"/>
        </w:rPr>
        <w:t xml:space="preserve">is available on the official website of </w:t>
      </w:r>
      <w:proofErr w:type="gramStart"/>
      <w:r w:rsidRPr="00A263D1">
        <w:rPr>
          <w:rFonts w:ascii="Arial" w:eastAsia="Calibri" w:hAnsi="Arial" w:cs="Arial"/>
          <w:color w:val="000000"/>
          <w:sz w:val="22"/>
          <w:szCs w:val="22"/>
          <w:u w:color="000000"/>
          <w:lang w:eastAsia="en-US"/>
        </w:rPr>
        <w:t>Plinacro</w:t>
      </w:r>
      <w:r w:rsidR="002743BF" w:rsidRPr="00A263D1">
        <w:rPr>
          <w:rFonts w:ascii="Arial" w:eastAsia="Calibri" w:hAnsi="Arial" w:cs="Arial"/>
          <w:color w:val="000000"/>
          <w:sz w:val="22"/>
          <w:szCs w:val="22"/>
          <w:u w:color="000000"/>
          <w:lang w:eastAsia="en-US"/>
        </w:rPr>
        <w:t>;</w:t>
      </w:r>
      <w:proofErr w:type="gramEnd"/>
    </w:p>
    <w:p w14:paraId="2978EC73" w14:textId="7D1BE913" w:rsidR="002743BF" w:rsidRPr="00A263D1" w:rsidRDefault="008951A9" w:rsidP="005A4278">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The Form is to be completed by the interested suppliers and/or gas traders who are the existing or potential gas transmission system </w:t>
      </w:r>
      <w:proofErr w:type="gramStart"/>
      <w:r w:rsidRPr="00A263D1">
        <w:rPr>
          <w:rFonts w:ascii="Arial" w:eastAsia="Calibri" w:hAnsi="Arial" w:cs="Arial"/>
          <w:color w:val="000000"/>
          <w:sz w:val="22"/>
          <w:szCs w:val="22"/>
          <w:u w:color="000000"/>
          <w:lang w:eastAsia="en-US"/>
        </w:rPr>
        <w:t>users;</w:t>
      </w:r>
      <w:proofErr w:type="gramEnd"/>
      <w:r w:rsidRPr="00A263D1">
        <w:rPr>
          <w:rFonts w:ascii="Arial" w:eastAsia="Calibri" w:hAnsi="Arial" w:cs="Arial"/>
          <w:color w:val="000000"/>
          <w:sz w:val="22"/>
          <w:szCs w:val="22"/>
          <w:u w:color="000000"/>
          <w:lang w:eastAsia="en-US"/>
        </w:rPr>
        <w:t xml:space="preserve"> </w:t>
      </w:r>
    </w:p>
    <w:p w14:paraId="1F13CC4C" w14:textId="12427830" w:rsidR="001563DF" w:rsidRPr="00A263D1" w:rsidRDefault="008951A9" w:rsidP="005A4278">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The Form represents a questionnaire </w:t>
      </w:r>
      <w:r w:rsidR="003B60E9" w:rsidRPr="00A263D1">
        <w:rPr>
          <w:rFonts w:ascii="Arial" w:eastAsia="Calibri" w:hAnsi="Arial" w:cs="Arial"/>
          <w:color w:val="000000"/>
          <w:sz w:val="22"/>
          <w:szCs w:val="22"/>
          <w:u w:color="000000"/>
          <w:lang w:eastAsia="en-US"/>
        </w:rPr>
        <w:t>with which P</w:t>
      </w:r>
      <w:r w:rsidRPr="00A263D1">
        <w:rPr>
          <w:rFonts w:ascii="Arial" w:eastAsia="Calibri" w:hAnsi="Arial" w:cs="Arial"/>
          <w:color w:val="000000"/>
          <w:sz w:val="22"/>
          <w:szCs w:val="22"/>
          <w:u w:color="000000"/>
          <w:lang w:eastAsia="en-US"/>
        </w:rPr>
        <w:t xml:space="preserve">linacro collects main information necessary for market demand assessment for incremental capacity on interconnection points pursuant to CAM </w:t>
      </w:r>
      <w:proofErr w:type="gramStart"/>
      <w:r w:rsidRPr="00A263D1">
        <w:rPr>
          <w:rFonts w:ascii="Arial" w:eastAsia="Calibri" w:hAnsi="Arial" w:cs="Arial"/>
          <w:color w:val="000000"/>
          <w:sz w:val="22"/>
          <w:szCs w:val="22"/>
          <w:u w:color="000000"/>
          <w:lang w:eastAsia="en-US"/>
        </w:rPr>
        <w:t>Regulation;</w:t>
      </w:r>
      <w:proofErr w:type="gramEnd"/>
      <w:r w:rsidRPr="00A263D1">
        <w:rPr>
          <w:rFonts w:ascii="Arial" w:eastAsia="Calibri" w:hAnsi="Arial" w:cs="Arial"/>
          <w:color w:val="000000"/>
          <w:sz w:val="22"/>
          <w:szCs w:val="22"/>
          <w:u w:color="000000"/>
          <w:lang w:eastAsia="en-US"/>
        </w:rPr>
        <w:t xml:space="preserve"> </w:t>
      </w:r>
    </w:p>
    <w:p w14:paraId="55915540" w14:textId="56E184FB" w:rsidR="005A4278" w:rsidRPr="00A263D1" w:rsidRDefault="003B60E9" w:rsidP="005A4278">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Participants in the market demand assessment submit non-binding demand </w:t>
      </w:r>
      <w:proofErr w:type="gramStart"/>
      <w:r w:rsidRPr="00A263D1">
        <w:rPr>
          <w:rFonts w:ascii="Arial" w:eastAsia="Calibri" w:hAnsi="Arial" w:cs="Arial"/>
          <w:color w:val="000000"/>
          <w:sz w:val="22"/>
          <w:szCs w:val="22"/>
          <w:u w:color="000000"/>
          <w:lang w:eastAsia="en-US"/>
        </w:rPr>
        <w:t>indications;</w:t>
      </w:r>
      <w:proofErr w:type="gramEnd"/>
      <w:r w:rsidRPr="00A263D1">
        <w:rPr>
          <w:rFonts w:ascii="Arial" w:eastAsia="Calibri" w:hAnsi="Arial" w:cs="Arial"/>
          <w:color w:val="000000"/>
          <w:sz w:val="22"/>
          <w:szCs w:val="22"/>
          <w:u w:color="000000"/>
          <w:lang w:eastAsia="en-US"/>
        </w:rPr>
        <w:t xml:space="preserve"> </w:t>
      </w:r>
    </w:p>
    <w:p w14:paraId="438069B1" w14:textId="7C653C55" w:rsidR="005A4278" w:rsidRPr="00A263D1" w:rsidRDefault="003B60E9" w:rsidP="005A4278">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Submission of the Form to Plinacro does not produce any legally binding effects for the </w:t>
      </w:r>
      <w:proofErr w:type="gramStart"/>
      <w:r w:rsidRPr="00A263D1">
        <w:rPr>
          <w:rFonts w:ascii="Arial" w:eastAsia="Calibri" w:hAnsi="Arial" w:cs="Arial"/>
          <w:color w:val="000000"/>
          <w:sz w:val="22"/>
          <w:szCs w:val="22"/>
          <w:u w:color="000000"/>
          <w:lang w:eastAsia="en-US"/>
        </w:rPr>
        <w:t>Applicants;</w:t>
      </w:r>
      <w:proofErr w:type="gramEnd"/>
      <w:r w:rsidRPr="00A263D1">
        <w:rPr>
          <w:rFonts w:ascii="Arial" w:eastAsia="Calibri" w:hAnsi="Arial" w:cs="Arial"/>
          <w:color w:val="000000"/>
          <w:sz w:val="22"/>
          <w:szCs w:val="22"/>
          <w:u w:color="000000"/>
          <w:lang w:eastAsia="en-US"/>
        </w:rPr>
        <w:t xml:space="preserve">  </w:t>
      </w:r>
    </w:p>
    <w:p w14:paraId="3063854A" w14:textId="30AFE8FB" w:rsidR="00DE1106" w:rsidRPr="00A263D1" w:rsidRDefault="00A07735" w:rsidP="00DE1106">
      <w:pPr>
        <w:pStyle w:val="ListParagraph"/>
        <w:numPr>
          <w:ilvl w:val="0"/>
          <w:numId w:val="5"/>
        </w:numPr>
        <w:spacing w:after="120" w:line="276" w:lineRule="auto"/>
        <w:ind w:left="714" w:hanging="357"/>
        <w:contextualSpacing w:val="0"/>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By completing the Form relevant Applicant authorises Plinacro to make</w:t>
      </w:r>
      <w:r w:rsidR="004E65B7">
        <w:rPr>
          <w:rFonts w:ascii="Arial" w:eastAsia="Calibri" w:hAnsi="Arial" w:cs="Arial"/>
          <w:color w:val="000000"/>
          <w:sz w:val="22"/>
          <w:szCs w:val="22"/>
          <w:u w:color="000000"/>
          <w:lang w:eastAsia="en-US"/>
        </w:rPr>
        <w:t xml:space="preserve"> the completed F</w:t>
      </w:r>
      <w:r w:rsidR="003E5536">
        <w:rPr>
          <w:rFonts w:ascii="Arial" w:eastAsia="Calibri" w:hAnsi="Arial" w:cs="Arial"/>
          <w:color w:val="000000"/>
          <w:sz w:val="22"/>
          <w:szCs w:val="22"/>
          <w:u w:color="000000"/>
          <w:lang w:eastAsia="en-US"/>
        </w:rPr>
        <w:t>orm</w:t>
      </w:r>
      <w:r w:rsidRPr="00A263D1">
        <w:rPr>
          <w:rFonts w:ascii="Arial" w:eastAsia="Calibri" w:hAnsi="Arial" w:cs="Arial"/>
          <w:color w:val="000000"/>
          <w:sz w:val="22"/>
          <w:szCs w:val="22"/>
          <w:u w:color="000000"/>
          <w:lang w:eastAsia="en-US"/>
        </w:rPr>
        <w:t xml:space="preserve"> and all information it contains available to other transmission system operators for the purpose of a common assessment of the total market demand for incremental capacity </w:t>
      </w:r>
      <w:r w:rsidR="007C3901" w:rsidRPr="00A263D1">
        <w:rPr>
          <w:rFonts w:ascii="Arial" w:eastAsia="Calibri" w:hAnsi="Arial" w:cs="Arial"/>
          <w:color w:val="000000"/>
          <w:sz w:val="22"/>
          <w:szCs w:val="22"/>
          <w:u w:color="000000"/>
          <w:lang w:eastAsia="en-US"/>
        </w:rPr>
        <w:t>pursuant to Article 26 of the Commission Regulation</w:t>
      </w:r>
      <w:r w:rsidR="003A5999" w:rsidRPr="00A263D1">
        <w:rPr>
          <w:rFonts w:ascii="Arial" w:eastAsia="Calibri" w:hAnsi="Arial" w:cs="Arial"/>
          <w:color w:val="000000"/>
          <w:sz w:val="22"/>
          <w:szCs w:val="22"/>
          <w:u w:color="000000"/>
          <w:lang w:eastAsia="en-US"/>
        </w:rPr>
        <w:t xml:space="preserve"> (EU) 2017/459</w:t>
      </w:r>
      <w:r w:rsidR="00DE1106" w:rsidRPr="00A263D1">
        <w:rPr>
          <w:rFonts w:ascii="Arial" w:eastAsia="Calibri" w:hAnsi="Arial" w:cs="Arial"/>
          <w:color w:val="000000"/>
          <w:sz w:val="22"/>
          <w:szCs w:val="22"/>
          <w:u w:color="000000"/>
          <w:lang w:eastAsia="en-US"/>
        </w:rPr>
        <w:t>.</w:t>
      </w:r>
    </w:p>
    <w:p w14:paraId="74FD477D" w14:textId="77777777" w:rsidR="00DE1106" w:rsidRPr="00A263D1" w:rsidRDefault="00DE1106" w:rsidP="00DE1106">
      <w:pPr>
        <w:spacing w:line="240" w:lineRule="auto"/>
        <w:jc w:val="left"/>
        <w:rPr>
          <w:rFonts w:ascii="Arial" w:eastAsia="Calibri" w:hAnsi="Arial" w:cs="Arial"/>
          <w:color w:val="000000"/>
          <w:u w:color="000000"/>
          <w:lang w:eastAsia="en-US"/>
        </w:rPr>
      </w:pPr>
      <w:r w:rsidRPr="00A263D1">
        <w:rPr>
          <w:rFonts w:ascii="Arial" w:eastAsia="Calibri" w:hAnsi="Arial" w:cs="Arial"/>
          <w:color w:val="000000"/>
          <w:u w:color="000000"/>
          <w:lang w:eastAsia="en-US"/>
        </w:rPr>
        <w:br w:type="page"/>
      </w:r>
    </w:p>
    <w:p w14:paraId="33AC7DEC" w14:textId="2BF64D0E" w:rsidR="00DE1106" w:rsidRPr="00A263D1" w:rsidRDefault="007C3901" w:rsidP="00DE1106">
      <w:pPr>
        <w:pStyle w:val="Signature"/>
        <w:numPr>
          <w:ilvl w:val="0"/>
          <w:numId w:val="4"/>
        </w:numPr>
        <w:spacing w:before="240"/>
        <w:ind w:left="283" w:hanging="283"/>
        <w:jc w:val="both"/>
        <w:rPr>
          <w:rFonts w:ascii="Arial" w:hAnsi="Arial" w:cs="Arial"/>
          <w:sz w:val="24"/>
          <w:szCs w:val="24"/>
          <w:lang w:val="en-GB"/>
        </w:rPr>
      </w:pPr>
      <w:r w:rsidRPr="00A263D1">
        <w:rPr>
          <w:rFonts w:ascii="Arial" w:hAnsi="Arial" w:cs="Arial"/>
          <w:b/>
          <w:bCs/>
          <w:sz w:val="24"/>
          <w:szCs w:val="24"/>
          <w:lang w:val="en-GB"/>
        </w:rPr>
        <w:lastRenderedPageBreak/>
        <w:t>Incremental capacity process</w:t>
      </w:r>
    </w:p>
    <w:p w14:paraId="7B6795C8" w14:textId="77777777" w:rsidR="003C0088" w:rsidRPr="00A263D1" w:rsidRDefault="003C0088" w:rsidP="003C0088">
      <w:pPr>
        <w:spacing w:line="276" w:lineRule="auto"/>
        <w:rPr>
          <w:rFonts w:ascii="Arial" w:eastAsia="Calibri" w:hAnsi="Arial" w:cs="Arial"/>
          <w:color w:val="000000"/>
          <w:u w:color="000000"/>
          <w:lang w:eastAsia="en-US"/>
        </w:rPr>
      </w:pPr>
    </w:p>
    <w:p w14:paraId="4FEA0BB2" w14:textId="6C7E0DD6" w:rsidR="00494CB3" w:rsidRPr="00A263D1" w:rsidRDefault="006F5C1F" w:rsidP="003C0088">
      <w:pPr>
        <w:spacing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Since every decision of the transmission system operator on any significant investment in the infrastructure </w:t>
      </w:r>
      <w:proofErr w:type="gramStart"/>
      <w:r w:rsidRPr="00A263D1">
        <w:rPr>
          <w:rFonts w:ascii="Arial" w:eastAsia="Calibri" w:hAnsi="Arial" w:cs="Arial"/>
          <w:color w:val="000000"/>
          <w:sz w:val="22"/>
          <w:szCs w:val="22"/>
          <w:u w:color="000000"/>
          <w:lang w:eastAsia="en-US"/>
        </w:rPr>
        <w:t>has to</w:t>
      </w:r>
      <w:proofErr w:type="gramEnd"/>
      <w:r w:rsidRPr="00A263D1">
        <w:rPr>
          <w:rFonts w:ascii="Arial" w:eastAsia="Calibri" w:hAnsi="Arial" w:cs="Arial"/>
          <w:color w:val="000000"/>
          <w:sz w:val="22"/>
          <w:szCs w:val="22"/>
          <w:u w:color="000000"/>
          <w:lang w:eastAsia="en-US"/>
        </w:rPr>
        <w:t xml:space="preserve"> be subject to a market demand assessment, for this purpose </w:t>
      </w:r>
      <w:r w:rsidR="004B5CB2" w:rsidRPr="00A263D1">
        <w:rPr>
          <w:rFonts w:ascii="Arial" w:eastAsia="Calibri" w:hAnsi="Arial" w:cs="Arial"/>
          <w:color w:val="000000"/>
          <w:sz w:val="22"/>
          <w:szCs w:val="22"/>
          <w:u w:color="000000"/>
          <w:lang w:eastAsia="en-US"/>
        </w:rPr>
        <w:t xml:space="preserve">CAM </w:t>
      </w:r>
      <w:r w:rsidR="007C3901" w:rsidRPr="00A263D1">
        <w:rPr>
          <w:rFonts w:ascii="Arial" w:eastAsia="Calibri" w:hAnsi="Arial" w:cs="Arial"/>
          <w:color w:val="000000"/>
          <w:sz w:val="22"/>
          <w:szCs w:val="22"/>
          <w:u w:color="000000"/>
          <w:lang w:eastAsia="en-US"/>
        </w:rPr>
        <w:t>Regulation</w:t>
      </w:r>
      <w:r w:rsidRPr="00A263D1">
        <w:rPr>
          <w:rFonts w:ascii="Arial" w:eastAsia="Calibri" w:hAnsi="Arial" w:cs="Arial"/>
          <w:color w:val="000000"/>
          <w:sz w:val="22"/>
          <w:szCs w:val="22"/>
          <w:u w:color="000000"/>
          <w:lang w:eastAsia="en-US"/>
        </w:rPr>
        <w:t xml:space="preserve"> prescribes an Incremental capacity process. The Incremental capacity process</w:t>
      </w:r>
      <w:r w:rsidR="004B5CB2" w:rsidRPr="00A263D1">
        <w:rPr>
          <w:rFonts w:ascii="Arial" w:eastAsia="Calibri" w:hAnsi="Arial" w:cs="Arial"/>
          <w:color w:val="000000"/>
          <w:sz w:val="22"/>
          <w:szCs w:val="22"/>
          <w:u w:color="000000"/>
          <w:lang w:eastAsia="en-US"/>
        </w:rPr>
        <w:t xml:space="preserve"> </w:t>
      </w:r>
      <w:r w:rsidRPr="00A263D1">
        <w:rPr>
          <w:rFonts w:ascii="Arial" w:eastAsia="Calibri" w:hAnsi="Arial" w:cs="Arial"/>
          <w:color w:val="000000"/>
          <w:sz w:val="22"/>
          <w:szCs w:val="22"/>
          <w:u w:color="000000"/>
          <w:lang w:eastAsia="en-US"/>
        </w:rPr>
        <w:t xml:space="preserve">starts by the assessment of market demand of the transmission system users for firm capacity on the interconnection points. </w:t>
      </w:r>
      <w:r w:rsidR="00B04370">
        <w:rPr>
          <w:rFonts w:ascii="Arial" w:eastAsia="Calibri" w:hAnsi="Arial" w:cs="Arial"/>
          <w:color w:val="000000"/>
          <w:sz w:val="22"/>
          <w:szCs w:val="22"/>
          <w:u w:color="000000"/>
          <w:lang w:eastAsia="en-US"/>
        </w:rPr>
        <w:t xml:space="preserve">Market </w:t>
      </w:r>
      <w:r w:rsidR="004E65B7">
        <w:rPr>
          <w:rFonts w:ascii="Arial" w:eastAsia="Calibri" w:hAnsi="Arial" w:cs="Arial"/>
          <w:color w:val="000000"/>
          <w:sz w:val="22"/>
          <w:szCs w:val="22"/>
          <w:u w:color="000000"/>
          <w:lang w:eastAsia="en-US"/>
        </w:rPr>
        <w:t>survey</w:t>
      </w:r>
      <w:r w:rsidR="00B04370">
        <w:rPr>
          <w:rFonts w:ascii="Arial" w:eastAsia="Calibri" w:hAnsi="Arial" w:cs="Arial"/>
          <w:color w:val="000000"/>
          <w:sz w:val="22"/>
          <w:szCs w:val="22"/>
          <w:u w:color="000000"/>
          <w:lang w:eastAsia="en-US"/>
        </w:rPr>
        <w:t xml:space="preserve"> is followed by</w:t>
      </w:r>
      <w:r w:rsidRPr="00A263D1">
        <w:rPr>
          <w:rFonts w:ascii="Arial" w:eastAsia="Calibri" w:hAnsi="Arial" w:cs="Arial"/>
          <w:color w:val="000000"/>
          <w:sz w:val="22"/>
          <w:szCs w:val="22"/>
          <w:u w:color="000000"/>
          <w:lang w:eastAsia="en-US"/>
        </w:rPr>
        <w:t xml:space="preserve"> a structured phase of analysing received requests in which neighbouring transmission system operators cooperate to evaluate if there is enough interest for incremental capacity. </w:t>
      </w:r>
    </w:p>
    <w:p w14:paraId="60CF972F" w14:textId="77777777" w:rsidR="00494CB3" w:rsidRPr="00A263D1" w:rsidRDefault="00494CB3" w:rsidP="003C0088">
      <w:pPr>
        <w:spacing w:line="276" w:lineRule="auto"/>
        <w:rPr>
          <w:rFonts w:ascii="Arial" w:eastAsia="Calibri" w:hAnsi="Arial" w:cs="Arial"/>
          <w:color w:val="000000"/>
          <w:sz w:val="22"/>
          <w:szCs w:val="22"/>
          <w:u w:color="000000"/>
          <w:lang w:eastAsia="en-US"/>
        </w:rPr>
      </w:pPr>
    </w:p>
    <w:p w14:paraId="16E7D904" w14:textId="3A861167" w:rsidR="004B5CB2" w:rsidRPr="00A263D1" w:rsidRDefault="00651559" w:rsidP="003C0088">
      <w:pPr>
        <w:spacing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Market demand assessment finishes by public announcement of the </w:t>
      </w:r>
      <w:r w:rsidRPr="00A263D1">
        <w:rPr>
          <w:rFonts w:ascii="Arial" w:eastAsia="Calibri" w:hAnsi="Arial" w:cs="Arial"/>
          <w:i/>
          <w:color w:val="000000"/>
          <w:sz w:val="22"/>
          <w:szCs w:val="22"/>
          <w:u w:color="000000"/>
          <w:lang w:eastAsia="en-US"/>
        </w:rPr>
        <w:t>Market demand assessment report</w:t>
      </w:r>
      <w:r w:rsidR="00B70957" w:rsidRPr="00A263D1">
        <w:rPr>
          <w:rFonts w:ascii="Arial" w:eastAsia="Calibri" w:hAnsi="Arial" w:cs="Arial"/>
          <w:color w:val="000000"/>
          <w:sz w:val="22"/>
          <w:szCs w:val="22"/>
          <w:u w:color="000000"/>
          <w:lang w:eastAsia="en-US"/>
        </w:rPr>
        <w:t xml:space="preserve"> </w:t>
      </w:r>
      <w:r w:rsidRPr="00A263D1">
        <w:rPr>
          <w:rFonts w:ascii="Arial" w:eastAsia="Calibri" w:hAnsi="Arial" w:cs="Arial"/>
          <w:color w:val="000000"/>
          <w:sz w:val="22"/>
          <w:szCs w:val="22"/>
          <w:u w:color="000000"/>
          <w:lang w:eastAsia="en-US"/>
        </w:rPr>
        <w:t xml:space="preserve">in which interested public can find information on the analyses of received requests and the results of the conducted process. In the Market demand assessment report transmission system operators will inform the interested public whether there is enough market interest to continue </w:t>
      </w:r>
      <w:r w:rsidR="007C3901" w:rsidRPr="00A263D1">
        <w:rPr>
          <w:rFonts w:ascii="Arial" w:eastAsia="Calibri" w:hAnsi="Arial" w:cs="Arial"/>
          <w:color w:val="000000"/>
          <w:sz w:val="22"/>
          <w:szCs w:val="22"/>
          <w:u w:color="000000"/>
          <w:lang w:eastAsia="en-US"/>
        </w:rPr>
        <w:t>Incremental capacity process</w:t>
      </w:r>
      <w:r w:rsidR="001563DF" w:rsidRPr="00A263D1">
        <w:rPr>
          <w:rFonts w:ascii="Arial" w:eastAsia="Calibri" w:hAnsi="Arial" w:cs="Arial"/>
          <w:color w:val="000000"/>
          <w:sz w:val="22"/>
          <w:szCs w:val="22"/>
          <w:u w:color="000000"/>
          <w:lang w:eastAsia="en-US"/>
        </w:rPr>
        <w:t>.</w:t>
      </w:r>
    </w:p>
    <w:p w14:paraId="577D3A5B" w14:textId="77777777" w:rsidR="001563DF" w:rsidRPr="00A263D1" w:rsidRDefault="001563DF" w:rsidP="003C0088">
      <w:pPr>
        <w:spacing w:line="276" w:lineRule="auto"/>
        <w:rPr>
          <w:rFonts w:ascii="Arial" w:eastAsia="Calibri" w:hAnsi="Arial" w:cs="Arial"/>
          <w:color w:val="000000"/>
          <w:sz w:val="22"/>
          <w:szCs w:val="22"/>
          <w:u w:color="000000"/>
          <w:lang w:eastAsia="en-US"/>
        </w:rPr>
      </w:pPr>
    </w:p>
    <w:p w14:paraId="7A348EF8" w14:textId="7F72F4B1" w:rsidR="00B70957" w:rsidRPr="00A263D1" w:rsidRDefault="00A07735" w:rsidP="003C0088">
      <w:pPr>
        <w:spacing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Market demand assessment reports are published on websites of transmission system operator</w:t>
      </w:r>
      <w:r w:rsidR="00B04370">
        <w:rPr>
          <w:rFonts w:ascii="Arial" w:eastAsia="Calibri" w:hAnsi="Arial" w:cs="Arial"/>
          <w:color w:val="000000"/>
          <w:sz w:val="22"/>
          <w:szCs w:val="22"/>
          <w:u w:color="000000"/>
          <w:lang w:eastAsia="en-US"/>
        </w:rPr>
        <w:t>s</w:t>
      </w:r>
      <w:r w:rsidRPr="00A263D1">
        <w:rPr>
          <w:rFonts w:ascii="Arial" w:eastAsia="Calibri" w:hAnsi="Arial" w:cs="Arial"/>
          <w:color w:val="000000"/>
          <w:sz w:val="22"/>
          <w:szCs w:val="22"/>
          <w:u w:color="000000"/>
          <w:lang w:eastAsia="en-US"/>
        </w:rPr>
        <w:t xml:space="preserve"> and </w:t>
      </w:r>
      <w:r w:rsidR="004B5CB2" w:rsidRPr="00A263D1">
        <w:rPr>
          <w:rFonts w:ascii="Arial" w:eastAsia="Calibri" w:hAnsi="Arial" w:cs="Arial"/>
          <w:color w:val="000000"/>
          <w:sz w:val="22"/>
          <w:szCs w:val="22"/>
          <w:u w:color="000000"/>
          <w:lang w:eastAsia="en-US"/>
        </w:rPr>
        <w:t>ENTSOG</w:t>
      </w:r>
      <w:r w:rsidRPr="00A263D1">
        <w:rPr>
          <w:rFonts w:ascii="Arial" w:eastAsia="Calibri" w:hAnsi="Arial" w:cs="Arial"/>
          <w:color w:val="000000"/>
          <w:sz w:val="22"/>
          <w:szCs w:val="22"/>
          <w:u w:color="000000"/>
          <w:lang w:eastAsia="en-US"/>
        </w:rPr>
        <w:t xml:space="preserve"> website </w:t>
      </w:r>
      <w:r w:rsidR="00855C52" w:rsidRPr="00A263D1">
        <w:rPr>
          <w:rFonts w:ascii="Arial" w:eastAsia="Calibri" w:hAnsi="Arial" w:cs="Arial"/>
          <w:color w:val="000000"/>
          <w:sz w:val="22"/>
          <w:szCs w:val="22"/>
          <w:u w:color="000000"/>
          <w:lang w:eastAsia="en-US"/>
        </w:rPr>
        <w:t>at the latest within 16 weeks after the start of the</w:t>
      </w:r>
      <w:r w:rsidR="004B5CB2" w:rsidRPr="00A263D1">
        <w:rPr>
          <w:rFonts w:ascii="Arial" w:eastAsia="Calibri" w:hAnsi="Arial" w:cs="Arial"/>
          <w:color w:val="000000"/>
          <w:sz w:val="22"/>
          <w:szCs w:val="22"/>
          <w:u w:color="000000"/>
          <w:lang w:eastAsia="en-US"/>
        </w:rPr>
        <w:t xml:space="preserve"> </w:t>
      </w:r>
      <w:r w:rsidR="003B60E9" w:rsidRPr="00A263D1">
        <w:rPr>
          <w:rFonts w:ascii="Arial" w:eastAsia="Calibri" w:hAnsi="Arial" w:cs="Arial"/>
          <w:color w:val="000000"/>
          <w:sz w:val="22"/>
          <w:szCs w:val="22"/>
          <w:u w:color="000000"/>
          <w:lang w:eastAsia="en-US"/>
        </w:rPr>
        <w:t>annual yearly capacity products auction</w:t>
      </w:r>
      <w:r w:rsidR="004B5CB2" w:rsidRPr="00A263D1">
        <w:rPr>
          <w:rFonts w:ascii="Arial" w:eastAsia="Calibri" w:hAnsi="Arial" w:cs="Arial"/>
          <w:color w:val="000000"/>
          <w:sz w:val="22"/>
          <w:szCs w:val="22"/>
          <w:u w:color="000000"/>
          <w:lang w:eastAsia="en-US"/>
        </w:rPr>
        <w:t>.</w:t>
      </w:r>
    </w:p>
    <w:p w14:paraId="4D5DBF19" w14:textId="77777777" w:rsidR="0045709D" w:rsidRPr="00A263D1" w:rsidRDefault="0045709D" w:rsidP="003C0088">
      <w:pPr>
        <w:spacing w:line="276" w:lineRule="auto"/>
        <w:rPr>
          <w:rFonts w:ascii="Arial" w:eastAsia="Calibri" w:hAnsi="Arial" w:cs="Arial"/>
          <w:color w:val="000000"/>
          <w:sz w:val="22"/>
          <w:szCs w:val="22"/>
          <w:u w:color="000000"/>
          <w:lang w:eastAsia="en-US"/>
        </w:rPr>
      </w:pPr>
    </w:p>
    <w:p w14:paraId="5BB8E62A" w14:textId="77777777" w:rsidR="00B70957" w:rsidRPr="00A263D1" w:rsidRDefault="00494CB3" w:rsidP="00494CB3">
      <w:pPr>
        <w:spacing w:after="160" w:line="259" w:lineRule="auto"/>
        <w:jc w:val="left"/>
        <w:rPr>
          <w:rFonts w:ascii="Arial" w:eastAsia="Calibri" w:hAnsi="Arial" w:cs="Arial"/>
          <w:color w:val="000000"/>
          <w:u w:color="000000"/>
          <w:lang w:eastAsia="en-US"/>
        </w:rPr>
      </w:pPr>
      <w:r w:rsidRPr="00A263D1">
        <w:rPr>
          <w:rFonts w:ascii="Arial" w:eastAsia="Calibri" w:hAnsi="Arial" w:cs="Arial"/>
          <w:color w:val="000000"/>
          <w:u w:color="000000"/>
          <w:lang w:eastAsia="en-US"/>
        </w:rPr>
        <w:br w:type="page"/>
      </w:r>
    </w:p>
    <w:p w14:paraId="5F62C3BB" w14:textId="52E5DA67" w:rsidR="00494CB3" w:rsidRPr="00A263D1" w:rsidRDefault="003C61B0" w:rsidP="00494CB3">
      <w:pPr>
        <w:pStyle w:val="Signature"/>
        <w:numPr>
          <w:ilvl w:val="0"/>
          <w:numId w:val="4"/>
        </w:numPr>
        <w:spacing w:before="240"/>
        <w:ind w:left="283" w:hanging="283"/>
        <w:jc w:val="both"/>
        <w:rPr>
          <w:rFonts w:ascii="Arial" w:hAnsi="Arial" w:cs="Arial"/>
          <w:b/>
          <w:bCs/>
          <w:sz w:val="24"/>
          <w:szCs w:val="24"/>
          <w:lang w:val="en-GB"/>
        </w:rPr>
      </w:pPr>
      <w:r w:rsidRPr="00A263D1">
        <w:rPr>
          <w:rFonts w:ascii="Arial" w:hAnsi="Arial" w:cs="Arial"/>
          <w:b/>
          <w:bCs/>
          <w:sz w:val="24"/>
          <w:szCs w:val="24"/>
          <w:lang w:val="en-GB"/>
        </w:rPr>
        <w:lastRenderedPageBreak/>
        <w:t>Market demand assessment</w:t>
      </w:r>
    </w:p>
    <w:p w14:paraId="6AFBBB0B" w14:textId="77777777" w:rsidR="00494CB3" w:rsidRPr="00A263D1" w:rsidRDefault="00494CB3" w:rsidP="0045709D">
      <w:pPr>
        <w:spacing w:after="120" w:line="276" w:lineRule="auto"/>
        <w:rPr>
          <w:rFonts w:ascii="Arial" w:eastAsia="Calibri" w:hAnsi="Arial" w:cs="Arial"/>
          <w:color w:val="000000"/>
          <w:u w:color="000000"/>
          <w:lang w:eastAsia="en-US"/>
        </w:rPr>
      </w:pPr>
    </w:p>
    <w:p w14:paraId="5643743B" w14:textId="56C8910B" w:rsidR="00494CB3" w:rsidRPr="00A263D1" w:rsidRDefault="003C61B0" w:rsidP="0045709D">
      <w:pPr>
        <w:spacing w:after="120"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Collecting </w:t>
      </w:r>
      <w:r w:rsidR="00B04370">
        <w:rPr>
          <w:rFonts w:ascii="Arial" w:eastAsia="Calibri" w:hAnsi="Arial" w:cs="Arial"/>
          <w:color w:val="000000"/>
          <w:sz w:val="22"/>
          <w:szCs w:val="22"/>
          <w:u w:color="000000"/>
          <w:lang w:eastAsia="en-US"/>
        </w:rPr>
        <w:t xml:space="preserve">of </w:t>
      </w:r>
      <w:r w:rsidRPr="00A263D1">
        <w:rPr>
          <w:rFonts w:ascii="Arial" w:eastAsia="Calibri" w:hAnsi="Arial" w:cs="Arial"/>
          <w:color w:val="000000"/>
          <w:sz w:val="22"/>
          <w:szCs w:val="22"/>
          <w:u w:color="000000"/>
          <w:lang w:eastAsia="en-US"/>
        </w:rPr>
        <w:t xml:space="preserve">non-binding demand indications for incremental capacity will be conducted in the period from </w:t>
      </w:r>
      <w:r w:rsidR="00262B48">
        <w:rPr>
          <w:rFonts w:ascii="Arial" w:eastAsia="Calibri" w:hAnsi="Arial" w:cs="Arial"/>
          <w:color w:val="000000"/>
          <w:sz w:val="22"/>
          <w:szCs w:val="22"/>
          <w:u w:color="000000"/>
          <w:lang w:eastAsia="en-US"/>
        </w:rPr>
        <w:t>5</w:t>
      </w:r>
      <w:r w:rsidRPr="00A263D1">
        <w:rPr>
          <w:rFonts w:ascii="Arial" w:eastAsia="Calibri" w:hAnsi="Arial" w:cs="Arial"/>
          <w:color w:val="000000"/>
          <w:sz w:val="22"/>
          <w:szCs w:val="22"/>
          <w:u w:color="000000"/>
          <w:lang w:eastAsia="en-US"/>
        </w:rPr>
        <w:t xml:space="preserve"> July to </w:t>
      </w:r>
      <w:r w:rsidR="00262B48">
        <w:rPr>
          <w:rFonts w:ascii="Arial" w:eastAsia="Calibri" w:hAnsi="Arial" w:cs="Arial"/>
          <w:color w:val="000000"/>
          <w:sz w:val="22"/>
          <w:szCs w:val="22"/>
          <w:u w:color="000000"/>
          <w:lang w:eastAsia="en-US"/>
        </w:rPr>
        <w:t>30</w:t>
      </w:r>
      <w:r w:rsidRPr="00A263D1">
        <w:rPr>
          <w:rFonts w:ascii="Arial" w:eastAsia="Calibri" w:hAnsi="Arial" w:cs="Arial"/>
          <w:color w:val="000000"/>
          <w:sz w:val="22"/>
          <w:szCs w:val="22"/>
          <w:u w:color="000000"/>
          <w:lang w:eastAsia="en-US"/>
        </w:rPr>
        <w:t xml:space="preserve"> </w:t>
      </w:r>
      <w:r w:rsidR="00E9724D">
        <w:rPr>
          <w:rFonts w:ascii="Arial" w:eastAsia="Calibri" w:hAnsi="Arial" w:cs="Arial"/>
          <w:color w:val="000000"/>
          <w:sz w:val="22"/>
          <w:szCs w:val="22"/>
          <w:u w:color="000000"/>
          <w:lang w:eastAsia="en-US"/>
        </w:rPr>
        <w:t xml:space="preserve">August </w:t>
      </w:r>
      <w:r w:rsidRPr="00A263D1">
        <w:rPr>
          <w:rFonts w:ascii="Arial" w:eastAsia="Calibri" w:hAnsi="Arial" w:cs="Arial"/>
          <w:color w:val="000000"/>
          <w:sz w:val="22"/>
          <w:szCs w:val="22"/>
          <w:u w:color="000000"/>
          <w:lang w:eastAsia="en-US"/>
        </w:rPr>
        <w:t>20</w:t>
      </w:r>
      <w:r w:rsidR="00262B48">
        <w:rPr>
          <w:rFonts w:ascii="Arial" w:eastAsia="Calibri" w:hAnsi="Arial" w:cs="Arial"/>
          <w:color w:val="000000"/>
          <w:sz w:val="22"/>
          <w:szCs w:val="22"/>
          <w:u w:color="000000"/>
          <w:lang w:eastAsia="en-US"/>
        </w:rPr>
        <w:t>2</w:t>
      </w:r>
      <w:r w:rsidR="00DC6D03">
        <w:rPr>
          <w:rFonts w:ascii="Arial" w:eastAsia="Calibri" w:hAnsi="Arial" w:cs="Arial"/>
          <w:color w:val="000000"/>
          <w:sz w:val="22"/>
          <w:szCs w:val="22"/>
          <w:u w:color="000000"/>
          <w:lang w:eastAsia="en-US"/>
        </w:rPr>
        <w:t>2</w:t>
      </w:r>
      <w:r w:rsidRPr="00A263D1">
        <w:rPr>
          <w:rFonts w:ascii="Arial" w:eastAsia="Calibri" w:hAnsi="Arial" w:cs="Arial"/>
          <w:color w:val="000000"/>
          <w:sz w:val="22"/>
          <w:szCs w:val="22"/>
          <w:u w:color="000000"/>
          <w:lang w:eastAsia="en-US"/>
        </w:rPr>
        <w:t>.</w:t>
      </w:r>
    </w:p>
    <w:p w14:paraId="74CED02D" w14:textId="4E9ACD14" w:rsidR="003C0088" w:rsidRPr="00A263D1" w:rsidRDefault="00A9566C" w:rsidP="0045709D">
      <w:pPr>
        <w:spacing w:after="120"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 xml:space="preserve">In the market demand assessment </w:t>
      </w:r>
      <w:r w:rsidR="00B04370">
        <w:rPr>
          <w:rFonts w:ascii="Arial" w:eastAsia="Calibri" w:hAnsi="Arial" w:cs="Arial"/>
          <w:color w:val="000000"/>
          <w:sz w:val="22"/>
          <w:szCs w:val="22"/>
          <w:u w:color="000000"/>
          <w:lang w:eastAsia="en-US"/>
        </w:rPr>
        <w:t xml:space="preserve">process </w:t>
      </w:r>
      <w:r w:rsidRPr="00A263D1">
        <w:rPr>
          <w:rFonts w:ascii="Arial" w:eastAsia="Calibri" w:hAnsi="Arial" w:cs="Arial"/>
          <w:color w:val="000000"/>
          <w:sz w:val="22"/>
          <w:szCs w:val="22"/>
          <w:u w:color="000000"/>
          <w:lang w:eastAsia="en-US"/>
        </w:rPr>
        <w:t xml:space="preserve">suppliers and/or gas traders may submit their non-binding requests for incremental capacity for the maximum period of the following 15 years. </w:t>
      </w:r>
    </w:p>
    <w:p w14:paraId="3D1538E5" w14:textId="23BA63F1" w:rsidR="003C0088" w:rsidRPr="00A263D1" w:rsidRDefault="00A9566C" w:rsidP="0045709D">
      <w:pPr>
        <w:spacing w:after="120" w:line="276" w:lineRule="auto"/>
        <w:rPr>
          <w:rFonts w:ascii="Arial" w:eastAsia="Calibri" w:hAnsi="Arial" w:cs="Arial"/>
          <w:color w:val="000000"/>
          <w:sz w:val="22"/>
          <w:szCs w:val="22"/>
          <w:u w:color="000000"/>
          <w:lang w:eastAsia="en-US"/>
        </w:rPr>
      </w:pPr>
      <w:r w:rsidRPr="00A263D1">
        <w:rPr>
          <w:rFonts w:ascii="Arial" w:eastAsia="Calibri" w:hAnsi="Arial" w:cs="Arial"/>
          <w:color w:val="000000"/>
          <w:sz w:val="22"/>
          <w:szCs w:val="22"/>
          <w:u w:color="000000"/>
          <w:lang w:eastAsia="en-US"/>
        </w:rPr>
        <w:t>Applicants may submit the request and after the mentioned period</w:t>
      </w:r>
      <w:r w:rsidR="00B04370">
        <w:rPr>
          <w:rFonts w:ascii="Arial" w:eastAsia="Calibri" w:hAnsi="Arial" w:cs="Arial"/>
          <w:color w:val="000000"/>
          <w:sz w:val="22"/>
          <w:szCs w:val="22"/>
          <w:u w:color="000000"/>
          <w:lang w:eastAsia="en-US"/>
        </w:rPr>
        <w:t>,</w:t>
      </w:r>
      <w:r w:rsidRPr="00A263D1">
        <w:rPr>
          <w:rFonts w:ascii="Arial" w:eastAsia="Calibri" w:hAnsi="Arial" w:cs="Arial"/>
          <w:color w:val="000000"/>
          <w:sz w:val="22"/>
          <w:szCs w:val="22"/>
          <w:u w:color="000000"/>
          <w:lang w:eastAsia="en-US"/>
        </w:rPr>
        <w:t xml:space="preserve"> and the transmission system operator retains the right to decide whether it will consider such requests in the ongoing market demand assessment for the incremental capacity or include </w:t>
      </w:r>
      <w:r w:rsidR="005A194B" w:rsidRPr="00A263D1">
        <w:rPr>
          <w:rFonts w:ascii="Arial" w:eastAsia="Calibri" w:hAnsi="Arial" w:cs="Arial"/>
          <w:color w:val="000000"/>
          <w:sz w:val="22"/>
          <w:szCs w:val="22"/>
          <w:u w:color="000000"/>
          <w:lang w:eastAsia="en-US"/>
        </w:rPr>
        <w:t xml:space="preserve">them in the next one. </w:t>
      </w:r>
    </w:p>
    <w:p w14:paraId="1905BFFB" w14:textId="1E8FB07E" w:rsidR="003E42FA" w:rsidRPr="00A263D1" w:rsidRDefault="005A194B" w:rsidP="002B25A0">
      <w:pPr>
        <w:pStyle w:val="NumPar1"/>
        <w:numPr>
          <w:ilvl w:val="0"/>
          <w:numId w:val="0"/>
        </w:numPr>
        <w:spacing w:line="276" w:lineRule="auto"/>
        <w:rPr>
          <w:rFonts w:ascii="Arial" w:hAnsi="Arial" w:cs="Arial"/>
          <w:sz w:val="22"/>
        </w:rPr>
      </w:pPr>
      <w:proofErr w:type="gramStart"/>
      <w:r w:rsidRPr="00A263D1">
        <w:rPr>
          <w:rFonts w:ascii="Arial" w:hAnsi="Arial" w:cs="Arial"/>
          <w:sz w:val="22"/>
        </w:rPr>
        <w:t>For the purpose of</w:t>
      </w:r>
      <w:proofErr w:type="gramEnd"/>
      <w:r w:rsidRPr="00A263D1">
        <w:rPr>
          <w:rFonts w:ascii="Arial" w:hAnsi="Arial" w:cs="Arial"/>
          <w:sz w:val="22"/>
        </w:rPr>
        <w:t xml:space="preserve"> the assessment of non-binding demand indications for incremental capacity</w:t>
      </w:r>
      <w:r w:rsidR="003C0088" w:rsidRPr="00A263D1">
        <w:rPr>
          <w:rFonts w:ascii="Arial" w:hAnsi="Arial" w:cs="Arial"/>
          <w:sz w:val="22"/>
        </w:rPr>
        <w:t xml:space="preserve"> </w:t>
      </w:r>
      <w:r w:rsidRPr="00A263D1">
        <w:rPr>
          <w:rFonts w:ascii="Arial" w:hAnsi="Arial" w:cs="Arial"/>
          <w:sz w:val="22"/>
        </w:rPr>
        <w:t>in compliance with the process prescribed in Article 26 of the New</w:t>
      </w:r>
      <w:r w:rsidR="003C0088" w:rsidRPr="00A263D1">
        <w:rPr>
          <w:rFonts w:ascii="Arial" w:hAnsi="Arial" w:cs="Arial"/>
          <w:sz w:val="22"/>
        </w:rPr>
        <w:t xml:space="preserve"> CAM</w:t>
      </w:r>
      <w:r w:rsidRPr="00A263D1">
        <w:rPr>
          <w:rFonts w:ascii="Arial" w:hAnsi="Arial" w:cs="Arial"/>
          <w:sz w:val="22"/>
        </w:rPr>
        <w:t xml:space="preserve"> regulation</w:t>
      </w:r>
      <w:r w:rsidR="003C0088" w:rsidRPr="00A263D1">
        <w:rPr>
          <w:rFonts w:ascii="Arial" w:hAnsi="Arial" w:cs="Arial"/>
          <w:sz w:val="22"/>
        </w:rPr>
        <w:t xml:space="preserve">, </w:t>
      </w:r>
      <w:r w:rsidRPr="00A263D1">
        <w:rPr>
          <w:rFonts w:ascii="Arial" w:hAnsi="Arial" w:cs="Arial"/>
          <w:sz w:val="22"/>
        </w:rPr>
        <w:t xml:space="preserve">it is necessary to complete the Table </w:t>
      </w:r>
      <w:r w:rsidR="008B1134">
        <w:rPr>
          <w:rFonts w:ascii="Arial" w:hAnsi="Arial" w:cs="Arial"/>
          <w:i/>
          <w:sz w:val="22"/>
        </w:rPr>
        <w:t>S</w:t>
      </w:r>
      <w:r w:rsidRPr="00A263D1">
        <w:rPr>
          <w:rFonts w:ascii="Arial" w:hAnsi="Arial" w:cs="Arial"/>
          <w:i/>
          <w:sz w:val="22"/>
        </w:rPr>
        <w:t xml:space="preserve">urvey of non-binding </w:t>
      </w:r>
      <w:r w:rsidR="00B04370">
        <w:rPr>
          <w:rFonts w:ascii="Arial" w:hAnsi="Arial" w:cs="Arial"/>
          <w:i/>
          <w:sz w:val="22"/>
        </w:rPr>
        <w:t xml:space="preserve">demand for firm capacity on </w:t>
      </w:r>
      <w:r w:rsidRPr="00A263D1">
        <w:rPr>
          <w:rFonts w:ascii="Arial" w:hAnsi="Arial" w:cs="Arial"/>
          <w:i/>
          <w:sz w:val="22"/>
        </w:rPr>
        <w:t>interconnections</w:t>
      </w:r>
      <w:r w:rsidR="003E42FA" w:rsidRPr="00A263D1">
        <w:rPr>
          <w:rFonts w:ascii="Arial" w:hAnsi="Arial" w:cs="Arial"/>
          <w:sz w:val="22"/>
        </w:rPr>
        <w:t>.</w:t>
      </w:r>
    </w:p>
    <w:p w14:paraId="654887EB" w14:textId="779BBD8B" w:rsidR="002B25A0" w:rsidRPr="00C90230" w:rsidRDefault="005A194B" w:rsidP="00C90230">
      <w:pPr>
        <w:spacing w:after="120" w:line="276" w:lineRule="auto"/>
        <w:rPr>
          <w:rFonts w:ascii="Arial" w:eastAsia="Calibri" w:hAnsi="Arial" w:cs="Arial"/>
          <w:color w:val="000000"/>
          <w:sz w:val="22"/>
          <w:szCs w:val="22"/>
          <w:u w:color="000000"/>
          <w:lang w:eastAsia="en-US"/>
        </w:rPr>
      </w:pPr>
      <w:r w:rsidRPr="00C90230">
        <w:rPr>
          <w:rFonts w:ascii="Arial" w:eastAsia="Calibri" w:hAnsi="Arial" w:cs="Arial"/>
          <w:color w:val="000000"/>
          <w:sz w:val="22"/>
          <w:szCs w:val="22"/>
          <w:u w:color="000000"/>
          <w:lang w:eastAsia="en-US"/>
        </w:rPr>
        <w:t xml:space="preserve">The table from the link shows all interconnection points at which Plinacro is connected to entry-exit systems of the neighbouring transmission system operators as well as the fields for additional suggestions for new interconnection points. </w:t>
      </w:r>
    </w:p>
    <w:p w14:paraId="2A9335B0" w14:textId="0972901E" w:rsidR="002B25A0" w:rsidRPr="00C90230" w:rsidRDefault="005A194B" w:rsidP="00C90230">
      <w:pPr>
        <w:spacing w:after="120" w:line="276" w:lineRule="auto"/>
        <w:rPr>
          <w:rFonts w:ascii="Arial" w:eastAsia="Calibri" w:hAnsi="Arial" w:cs="Arial"/>
          <w:color w:val="000000"/>
          <w:sz w:val="22"/>
          <w:szCs w:val="22"/>
          <w:u w:color="000000"/>
          <w:lang w:eastAsia="en-US"/>
        </w:rPr>
      </w:pPr>
      <w:r w:rsidRPr="00C90230">
        <w:rPr>
          <w:rFonts w:ascii="Arial" w:eastAsia="Calibri" w:hAnsi="Arial" w:cs="Arial"/>
          <w:color w:val="000000"/>
          <w:sz w:val="22"/>
          <w:szCs w:val="22"/>
          <w:u w:color="000000"/>
          <w:lang w:eastAsia="en-US"/>
        </w:rPr>
        <w:t>The Table needs to be completed</w:t>
      </w:r>
      <w:r w:rsidR="00A263D1" w:rsidRPr="00C90230">
        <w:rPr>
          <w:rFonts w:ascii="Arial" w:eastAsia="Calibri" w:hAnsi="Arial" w:cs="Arial"/>
          <w:color w:val="000000"/>
          <w:sz w:val="22"/>
          <w:szCs w:val="22"/>
          <w:u w:color="000000"/>
          <w:lang w:eastAsia="en-US"/>
        </w:rPr>
        <w:t xml:space="preserve"> so that the demand for incremental capacity for appropriate gas years is expressed in a measuring unit </w:t>
      </w:r>
      <w:r w:rsidR="002B25A0" w:rsidRPr="00C90230">
        <w:rPr>
          <w:rFonts w:ascii="Arial" w:eastAsia="Calibri" w:hAnsi="Arial" w:cs="Arial"/>
          <w:color w:val="000000"/>
          <w:sz w:val="22"/>
          <w:szCs w:val="22"/>
          <w:u w:color="000000"/>
          <w:lang w:eastAsia="en-US"/>
        </w:rPr>
        <w:t xml:space="preserve">kWh/h/g (GCV 25̊C/0̊C). </w:t>
      </w:r>
      <w:r w:rsidR="00C461AD" w:rsidRPr="00C90230">
        <w:rPr>
          <w:rFonts w:ascii="Arial" w:eastAsia="Calibri" w:hAnsi="Arial" w:cs="Arial"/>
          <w:color w:val="000000"/>
          <w:sz w:val="22"/>
          <w:szCs w:val="22"/>
          <w:u w:color="000000"/>
          <w:lang w:eastAsia="en-US"/>
        </w:rPr>
        <w:t xml:space="preserve">The quantity of demand for incremental capacity is to be entered for the appropriate entry-exit system and appropriate </w:t>
      </w:r>
      <w:r w:rsidR="00B04370" w:rsidRPr="00C90230">
        <w:rPr>
          <w:rFonts w:ascii="Arial" w:eastAsia="Calibri" w:hAnsi="Arial" w:cs="Arial"/>
          <w:color w:val="000000"/>
          <w:sz w:val="22"/>
          <w:szCs w:val="22"/>
          <w:u w:color="000000"/>
          <w:lang w:eastAsia="en-US"/>
        </w:rPr>
        <w:t xml:space="preserve">demand </w:t>
      </w:r>
      <w:r w:rsidR="00C461AD" w:rsidRPr="00C90230">
        <w:rPr>
          <w:rFonts w:ascii="Arial" w:eastAsia="Calibri" w:hAnsi="Arial" w:cs="Arial"/>
          <w:color w:val="000000"/>
          <w:sz w:val="22"/>
          <w:szCs w:val="22"/>
          <w:u w:color="000000"/>
          <w:lang w:eastAsia="en-US"/>
        </w:rPr>
        <w:t>direction</w:t>
      </w:r>
      <w:r w:rsidR="00D3581F" w:rsidRPr="00C90230">
        <w:rPr>
          <w:rFonts w:ascii="Arial" w:eastAsia="Calibri" w:hAnsi="Arial" w:cs="Arial"/>
          <w:color w:val="000000"/>
          <w:sz w:val="22"/>
          <w:szCs w:val="22"/>
          <w:u w:color="000000"/>
          <w:lang w:eastAsia="en-US"/>
        </w:rPr>
        <w:t>.</w:t>
      </w:r>
    </w:p>
    <w:p w14:paraId="5EA11DB5" w14:textId="65FD91BA" w:rsidR="00C90230" w:rsidRPr="00C90230" w:rsidRDefault="00C90230" w:rsidP="00C90230">
      <w:pPr>
        <w:spacing w:after="120" w:line="276" w:lineRule="auto"/>
        <w:rPr>
          <w:rFonts w:ascii="Arial" w:eastAsia="Calibri" w:hAnsi="Arial" w:cs="Arial"/>
          <w:color w:val="000000"/>
          <w:sz w:val="22"/>
          <w:szCs w:val="22"/>
          <w:u w:color="000000"/>
          <w:lang w:eastAsia="en-US"/>
        </w:rPr>
      </w:pPr>
      <w:r w:rsidRPr="00C90230">
        <w:rPr>
          <w:rFonts w:ascii="Arial" w:eastAsia="Calibri" w:hAnsi="Arial" w:cs="Arial"/>
          <w:color w:val="000000"/>
          <w:sz w:val="22"/>
          <w:szCs w:val="22"/>
          <w:u w:color="000000"/>
          <w:lang w:eastAsia="en-US"/>
        </w:rPr>
        <w:t xml:space="preserve">When expressing demand for incremental capacity an interested supplier and/or gas trader enters total capacity he considers necessary for the appropriate gas year for an individual interconnection point regardless of the technical capacity of the interconnection. </w:t>
      </w:r>
    </w:p>
    <w:p w14:paraId="5F6AD4C3" w14:textId="3248CB5E" w:rsidR="00724587" w:rsidRDefault="00724587" w:rsidP="00C90230">
      <w:pPr>
        <w:spacing w:after="120" w:line="276" w:lineRule="auto"/>
        <w:rPr>
          <w:rFonts w:ascii="Arial" w:eastAsia="Calibri" w:hAnsi="Arial" w:cs="Arial"/>
          <w:color w:val="000000"/>
          <w:sz w:val="22"/>
          <w:szCs w:val="22"/>
          <w:u w:color="000000"/>
          <w:lang w:eastAsia="en-US"/>
        </w:rPr>
      </w:pPr>
      <w:r w:rsidRPr="00724587">
        <w:rPr>
          <w:rFonts w:ascii="Arial" w:eastAsia="Calibri" w:hAnsi="Arial" w:cs="Arial"/>
          <w:color w:val="000000"/>
          <w:sz w:val="22"/>
          <w:szCs w:val="22"/>
          <w:u w:color="000000"/>
          <w:lang w:eastAsia="en-US"/>
        </w:rPr>
        <w:t>Participants are reminded that a non-binding request for the firm capacity on the interconnection must be submitted to both neighbouring transmission system operators. If two entities plan to submit a request jointly, one on the one side and the other one on the other side of the interconnection point, then the interest should be expressed in a joint request with both neighbouring operators at the interconnection point.</w:t>
      </w:r>
    </w:p>
    <w:p w14:paraId="6C7F6951" w14:textId="633766AD" w:rsidR="002B25A0" w:rsidRPr="00A263D1" w:rsidRDefault="00A263D1" w:rsidP="00C90230">
      <w:pPr>
        <w:spacing w:after="120" w:line="276" w:lineRule="auto"/>
        <w:rPr>
          <w:rFonts w:ascii="Arial" w:hAnsi="Arial" w:cs="Arial"/>
          <w:sz w:val="22"/>
        </w:rPr>
      </w:pPr>
      <w:r w:rsidRPr="00C90230">
        <w:rPr>
          <w:rFonts w:ascii="Arial" w:eastAsia="Calibri" w:hAnsi="Arial" w:cs="Arial"/>
          <w:color w:val="000000"/>
          <w:sz w:val="22"/>
          <w:szCs w:val="22"/>
          <w:u w:color="000000"/>
          <w:lang w:eastAsia="en-US"/>
        </w:rPr>
        <w:t>If a demand indication is submitted also to one or several other transmission system operators the information</w:t>
      </w:r>
      <w:r w:rsidR="00B04370" w:rsidRPr="00C90230">
        <w:rPr>
          <w:rFonts w:ascii="Arial" w:eastAsia="Calibri" w:hAnsi="Arial" w:cs="Arial"/>
          <w:color w:val="000000"/>
          <w:sz w:val="22"/>
          <w:szCs w:val="22"/>
          <w:u w:color="000000"/>
          <w:lang w:eastAsia="en-US"/>
        </w:rPr>
        <w:t xml:space="preserve"> about it will be </w:t>
      </w:r>
      <w:r w:rsidR="00B04370">
        <w:rPr>
          <w:rFonts w:ascii="Arial" w:hAnsi="Arial" w:cs="Arial"/>
          <w:sz w:val="22"/>
        </w:rPr>
        <w:t>entered in an</w:t>
      </w:r>
      <w:r w:rsidRPr="00A263D1">
        <w:rPr>
          <w:rFonts w:ascii="Arial" w:hAnsi="Arial" w:cs="Arial"/>
          <w:sz w:val="22"/>
        </w:rPr>
        <w:t xml:space="preserve"> appropriate field. </w:t>
      </w:r>
      <w:r w:rsidR="00C461AD" w:rsidRPr="00A263D1">
        <w:rPr>
          <w:rFonts w:ascii="Arial" w:hAnsi="Arial" w:cs="Arial"/>
          <w:sz w:val="22"/>
        </w:rPr>
        <w:t>If demand indications are mutually linked, for example</w:t>
      </w:r>
      <w:r w:rsidR="004E65B7">
        <w:rPr>
          <w:rFonts w:ascii="Arial" w:hAnsi="Arial" w:cs="Arial"/>
          <w:sz w:val="22"/>
        </w:rPr>
        <w:t>,</w:t>
      </w:r>
      <w:r w:rsidR="00C461AD" w:rsidRPr="00A263D1">
        <w:rPr>
          <w:rFonts w:ascii="Arial" w:hAnsi="Arial" w:cs="Arial"/>
          <w:sz w:val="22"/>
        </w:rPr>
        <w:t xml:space="preserve"> when we talk about demand on several connected interconnection points it can be described in more details below the table in the field </w:t>
      </w:r>
      <w:r w:rsidR="00C461AD" w:rsidRPr="00A263D1">
        <w:rPr>
          <w:rFonts w:ascii="Arial" w:hAnsi="Arial" w:cs="Arial"/>
          <w:i/>
          <w:sz w:val="22"/>
        </w:rPr>
        <w:t>Detailed description</w:t>
      </w:r>
      <w:r w:rsidR="00C461AD" w:rsidRPr="00A263D1">
        <w:rPr>
          <w:rFonts w:ascii="Arial" w:hAnsi="Arial" w:cs="Arial"/>
          <w:sz w:val="22"/>
        </w:rPr>
        <w:t xml:space="preserve"> under number </w:t>
      </w:r>
      <w:r w:rsidR="00D3581F" w:rsidRPr="00A263D1">
        <w:rPr>
          <w:rFonts w:ascii="Arial" w:hAnsi="Arial" w:cs="Arial"/>
          <w:sz w:val="22"/>
        </w:rPr>
        <w:t>(1).</w:t>
      </w:r>
    </w:p>
    <w:p w14:paraId="6EF83418" w14:textId="19A7FA1E" w:rsidR="00494CB3" w:rsidRPr="00A263D1" w:rsidRDefault="00C461AD" w:rsidP="002B25A0">
      <w:pPr>
        <w:pStyle w:val="NumPar1"/>
        <w:numPr>
          <w:ilvl w:val="0"/>
          <w:numId w:val="0"/>
        </w:numPr>
        <w:spacing w:line="276" w:lineRule="auto"/>
        <w:rPr>
          <w:rFonts w:ascii="Arial" w:hAnsi="Arial" w:cs="Arial"/>
          <w:sz w:val="22"/>
        </w:rPr>
      </w:pPr>
      <w:r w:rsidRPr="00A263D1">
        <w:rPr>
          <w:rFonts w:ascii="Arial" w:hAnsi="Arial" w:cs="Arial"/>
          <w:sz w:val="22"/>
        </w:rPr>
        <w:t>If a demand indication is linked to certain conditions, for example</w:t>
      </w:r>
      <w:r w:rsidR="004E65B7">
        <w:rPr>
          <w:rFonts w:ascii="Arial" w:hAnsi="Arial" w:cs="Arial"/>
          <w:sz w:val="22"/>
        </w:rPr>
        <w:t>,</w:t>
      </w:r>
      <w:r w:rsidRPr="00A263D1">
        <w:rPr>
          <w:rFonts w:ascii="Arial" w:hAnsi="Arial" w:cs="Arial"/>
          <w:sz w:val="22"/>
        </w:rPr>
        <w:t xml:space="preserve"> when the capacity is conditioned by the LNG terminal construction or similar, such information should be written in the appropriate field and a detailed description can be </w:t>
      </w:r>
      <w:r w:rsidR="00A263D1" w:rsidRPr="00A263D1">
        <w:rPr>
          <w:rFonts w:ascii="Arial" w:hAnsi="Arial" w:cs="Arial"/>
          <w:sz w:val="22"/>
        </w:rPr>
        <w:t>given</w:t>
      </w:r>
      <w:r w:rsidRPr="00A263D1">
        <w:rPr>
          <w:rFonts w:ascii="Arial" w:hAnsi="Arial" w:cs="Arial"/>
          <w:sz w:val="22"/>
        </w:rPr>
        <w:t xml:space="preserve"> below the table in the field </w:t>
      </w:r>
      <w:r w:rsidRPr="00A263D1">
        <w:rPr>
          <w:rFonts w:ascii="Arial" w:hAnsi="Arial" w:cs="Arial"/>
          <w:i/>
          <w:sz w:val="22"/>
        </w:rPr>
        <w:t>Detailed description</w:t>
      </w:r>
      <w:r w:rsidRPr="00A263D1">
        <w:rPr>
          <w:rFonts w:ascii="Arial" w:hAnsi="Arial" w:cs="Arial"/>
          <w:sz w:val="22"/>
        </w:rPr>
        <w:t xml:space="preserve"> under number</w:t>
      </w:r>
      <w:r w:rsidR="00047ACD" w:rsidRPr="00A263D1">
        <w:rPr>
          <w:rFonts w:ascii="Arial" w:hAnsi="Arial" w:cs="Arial"/>
          <w:sz w:val="22"/>
        </w:rPr>
        <w:t xml:space="preserve"> (2).</w:t>
      </w:r>
    </w:p>
    <w:p w14:paraId="578B6012" w14:textId="77777777" w:rsidR="004549F1" w:rsidRPr="00A263D1" w:rsidRDefault="004549F1" w:rsidP="004549F1"/>
    <w:p w14:paraId="18870534" w14:textId="77777777" w:rsidR="004549F1" w:rsidRPr="00A263D1" w:rsidRDefault="004549F1" w:rsidP="004549F1">
      <w:pPr>
        <w:tabs>
          <w:tab w:val="left" w:pos="8314"/>
        </w:tabs>
      </w:pPr>
      <w:r w:rsidRPr="00A263D1">
        <w:tab/>
      </w:r>
    </w:p>
    <w:p w14:paraId="0EDF57FD" w14:textId="5C331E13" w:rsidR="003C0088" w:rsidRPr="00A263D1" w:rsidRDefault="003C0088" w:rsidP="004549F1">
      <w:pPr>
        <w:tabs>
          <w:tab w:val="left" w:pos="8314"/>
        </w:tabs>
        <w:sectPr w:rsidR="003C0088" w:rsidRPr="00A263D1" w:rsidSect="00A250FD">
          <w:footerReference w:type="first" r:id="rId12"/>
          <w:pgSz w:w="12240" w:h="15840"/>
          <w:pgMar w:top="1417" w:right="1417" w:bottom="1417" w:left="1417" w:header="720" w:footer="255" w:gutter="0"/>
          <w:pgNumType w:start="1"/>
          <w:cols w:space="720"/>
          <w:titlePg/>
          <w:docGrid w:linePitch="326"/>
        </w:sectPr>
      </w:pPr>
    </w:p>
    <w:p w14:paraId="293F2BF3" w14:textId="64BA3336" w:rsidR="00DE1106" w:rsidRPr="00A263D1" w:rsidRDefault="00E074B6" w:rsidP="00574A23">
      <w:pPr>
        <w:pStyle w:val="NumPar1"/>
        <w:numPr>
          <w:ilvl w:val="0"/>
          <w:numId w:val="0"/>
        </w:numPr>
        <w:tabs>
          <w:tab w:val="left" w:pos="19500"/>
        </w:tabs>
        <w:spacing w:line="276" w:lineRule="auto"/>
        <w:ind w:left="851"/>
        <w:rPr>
          <w:rFonts w:ascii="Arial" w:hAnsi="Arial" w:cs="Arial"/>
          <w:szCs w:val="24"/>
        </w:rPr>
      </w:pPr>
      <w:r w:rsidRPr="00A263D1">
        <w:rPr>
          <w:rFonts w:ascii="Arial" w:hAnsi="Arial" w:cs="Arial"/>
          <w:szCs w:val="24"/>
        </w:rPr>
        <w:lastRenderedPageBreak/>
        <w:t>Template</w:t>
      </w:r>
      <w:r w:rsidR="00DE1106" w:rsidRPr="00A263D1">
        <w:rPr>
          <w:rFonts w:ascii="Arial" w:hAnsi="Arial" w:cs="Arial"/>
          <w:szCs w:val="24"/>
        </w:rPr>
        <w:t xml:space="preserve"> </w:t>
      </w:r>
      <w:r w:rsidR="007C3901" w:rsidRPr="00A263D1">
        <w:rPr>
          <w:rFonts w:ascii="Arial" w:hAnsi="Arial" w:cs="Arial"/>
          <w:szCs w:val="24"/>
        </w:rPr>
        <w:t>“</w:t>
      </w:r>
      <w:r w:rsidR="008B1134">
        <w:rPr>
          <w:rFonts w:ascii="Arial" w:hAnsi="Arial" w:cs="Arial"/>
          <w:szCs w:val="24"/>
        </w:rPr>
        <w:t>S</w:t>
      </w:r>
      <w:r w:rsidR="00B04370">
        <w:rPr>
          <w:rFonts w:ascii="Arial" w:hAnsi="Arial" w:cs="Arial"/>
          <w:szCs w:val="24"/>
        </w:rPr>
        <w:t>urvey</w:t>
      </w:r>
      <w:r w:rsidRPr="00A263D1">
        <w:rPr>
          <w:rFonts w:ascii="Arial" w:hAnsi="Arial" w:cs="Arial"/>
          <w:szCs w:val="24"/>
        </w:rPr>
        <w:t xml:space="preserve"> of non-binding demand </w:t>
      </w:r>
      <w:r w:rsidR="008B1134">
        <w:rPr>
          <w:rFonts w:ascii="Arial" w:hAnsi="Arial" w:cs="Arial"/>
          <w:szCs w:val="24"/>
        </w:rPr>
        <w:t xml:space="preserve">for </w:t>
      </w:r>
      <w:r w:rsidRPr="00A263D1">
        <w:rPr>
          <w:rFonts w:ascii="Arial" w:hAnsi="Arial" w:cs="Arial"/>
          <w:szCs w:val="24"/>
        </w:rPr>
        <w:t xml:space="preserve">firm capacity </w:t>
      </w:r>
      <w:r w:rsidR="007C3901" w:rsidRPr="00A263D1">
        <w:rPr>
          <w:rFonts w:ascii="Arial" w:hAnsi="Arial" w:cs="Arial"/>
          <w:szCs w:val="24"/>
        </w:rPr>
        <w:t xml:space="preserve">on </w:t>
      </w:r>
      <w:proofErr w:type="gramStart"/>
      <w:r w:rsidR="007C3901" w:rsidRPr="00A263D1">
        <w:rPr>
          <w:rFonts w:ascii="Arial" w:hAnsi="Arial" w:cs="Arial"/>
          <w:szCs w:val="24"/>
        </w:rPr>
        <w:t>interconnections</w:t>
      </w:r>
      <w:r w:rsidR="00DE1106" w:rsidRPr="00A263D1">
        <w:rPr>
          <w:rFonts w:ascii="Arial" w:hAnsi="Arial" w:cs="Arial"/>
          <w:szCs w:val="24"/>
        </w:rPr>
        <w:t>“</w:t>
      </w:r>
      <w:proofErr w:type="gramEnd"/>
      <w:r w:rsidR="00574A23">
        <w:rPr>
          <w:rFonts w:ascii="Arial" w:hAnsi="Arial" w:cs="Arial"/>
          <w:szCs w:val="24"/>
        </w:rPr>
        <w:tab/>
      </w:r>
    </w:p>
    <w:p w14:paraId="7785D51A" w14:textId="77777777" w:rsidR="00DE1106" w:rsidRPr="00A263D1" w:rsidRDefault="00DE1106" w:rsidP="00DE1106">
      <w:pPr>
        <w:pStyle w:val="Text1"/>
      </w:pPr>
    </w:p>
    <w:p w14:paraId="644D3FC1" w14:textId="37BB281D" w:rsidR="00DE1106" w:rsidRPr="00A263D1" w:rsidRDefault="00DE1106" w:rsidP="00DE1106">
      <w:pPr>
        <w:pStyle w:val="Text1"/>
      </w:pPr>
    </w:p>
    <w:p w14:paraId="0293ABF4" w14:textId="538E704D" w:rsidR="00DE1106" w:rsidRPr="00A263D1" w:rsidRDefault="00236F5B" w:rsidP="00DE1106">
      <w:pPr>
        <w:pStyle w:val="Point1letter"/>
        <w:numPr>
          <w:ilvl w:val="0"/>
          <w:numId w:val="0"/>
        </w:numPr>
        <w:spacing w:line="276" w:lineRule="auto"/>
        <w:rPr>
          <w:rFonts w:ascii="Arial" w:hAnsi="Arial" w:cs="Arial"/>
          <w:szCs w:val="24"/>
        </w:rPr>
      </w:pPr>
      <w:r w:rsidRPr="00833E92">
        <w:rPr>
          <w:noProof/>
          <w:lang w:val="hr-HR"/>
        </w:rPr>
        <w:drawing>
          <wp:inline distT="0" distB="0" distL="0" distR="0" wp14:anchorId="1A772CFD" wp14:editId="17D92B75">
            <wp:extent cx="13322300" cy="40620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2300" cy="4062087"/>
                    </a:xfrm>
                    <a:prstGeom prst="rect">
                      <a:avLst/>
                    </a:prstGeom>
                    <a:noFill/>
                    <a:ln>
                      <a:noFill/>
                    </a:ln>
                  </pic:spPr>
                </pic:pic>
              </a:graphicData>
            </a:graphic>
          </wp:inline>
        </w:drawing>
      </w:r>
    </w:p>
    <w:p w14:paraId="76386523" w14:textId="77777777" w:rsidR="00C84298" w:rsidRPr="00A263D1" w:rsidRDefault="00C84298"/>
    <w:sectPr w:rsidR="00C84298" w:rsidRPr="00A263D1" w:rsidSect="00DE1106">
      <w:headerReference w:type="default" r:id="rId14"/>
      <w:footerReference w:type="default" r:id="rId15"/>
      <w:headerReference w:type="first" r:id="rId16"/>
      <w:footerReference w:type="first" r:id="rId17"/>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AFBB" w14:textId="77777777" w:rsidR="001374CA" w:rsidRDefault="001374CA">
      <w:pPr>
        <w:spacing w:line="240" w:lineRule="auto"/>
      </w:pPr>
      <w:r>
        <w:separator/>
      </w:r>
    </w:p>
  </w:endnote>
  <w:endnote w:type="continuationSeparator" w:id="0">
    <w:p w14:paraId="1CB4E56C" w14:textId="77777777" w:rsidR="001374CA" w:rsidRDefault="00137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E376" w14:textId="77777777" w:rsidR="003C0088" w:rsidRPr="00E52663" w:rsidRDefault="003C0088" w:rsidP="002430F2">
    <w:pPr>
      <w:pStyle w:val="Footer"/>
      <w:jc w:val="center"/>
      <w:rPr>
        <w:sz w:val="10"/>
        <w:szCs w:val="10"/>
      </w:rPr>
    </w:pPr>
  </w:p>
  <w:p w14:paraId="6354034D" w14:textId="0D12D153" w:rsidR="003C0088" w:rsidRDefault="003C0088" w:rsidP="004C69A9">
    <w:pPr>
      <w:pStyle w:val="Footer"/>
      <w:tabs>
        <w:tab w:val="left" w:pos="4485"/>
        <w:tab w:val="center" w:pos="4703"/>
      </w:tabs>
      <w:jc w:val="left"/>
      <w:rPr>
        <w:rStyle w:val="SubtleEmphasis"/>
      </w:rPr>
    </w:pPr>
    <w:r>
      <w:rPr>
        <w:rStyle w:val="SubtleEmphasis"/>
      </w:rPr>
      <w:tab/>
    </w:r>
    <w:r>
      <w:rPr>
        <w:rStyle w:val="SubtleEmphasis"/>
      </w:rPr>
      <w:tab/>
    </w:r>
    <w:r>
      <w:rPr>
        <w:rStyle w:val="SubtleEmphasis"/>
      </w:rPr>
      <w:tab/>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F670B4">
      <w:rPr>
        <w:rStyle w:val="SubtleEmphasis"/>
        <w:noProof/>
      </w:rPr>
      <w:t>3</w:t>
    </w:r>
    <w:r w:rsidRPr="0065668E">
      <w:rPr>
        <w:rStyle w:val="SubtleEmphasis"/>
      </w:rPr>
      <w:fldChar w:fldCharType="end"/>
    </w:r>
    <w:r>
      <w:rPr>
        <w:rStyle w:val="SubtleEmphasis"/>
      </w:rPr>
      <w:t>/</w:t>
    </w:r>
    <w:r w:rsidR="00C90230">
      <w:rPr>
        <w:rStyle w:val="SubtleEmphasis"/>
      </w:rPr>
      <w:t>4</w:t>
    </w:r>
  </w:p>
  <w:p w14:paraId="290F8E38" w14:textId="77777777" w:rsidR="003C0088" w:rsidRPr="002430F2" w:rsidRDefault="003C0088" w:rsidP="002430F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2714" w14:textId="77777777" w:rsidR="00A250FD" w:rsidRDefault="00A250FD">
    <w:pPr>
      <w:pStyle w:val="Footer"/>
      <w:jc w:val="center"/>
    </w:pPr>
  </w:p>
  <w:p w14:paraId="47B71856" w14:textId="77777777" w:rsidR="003C0088" w:rsidRDefault="003C0088" w:rsidP="004C69A9">
    <w:pPr>
      <w:pStyle w:val="Footer"/>
      <w:spacing w:line="72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638E" w14:textId="4E8E5826" w:rsidR="00A250FD" w:rsidRDefault="00A250FD" w:rsidP="004C69A9">
    <w:pPr>
      <w:pStyle w:val="Footer"/>
      <w:spacing w:line="720" w:lineRule="auto"/>
      <w:jc w:val="center"/>
    </w:pP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4E65B7">
      <w:rPr>
        <w:rStyle w:val="SubtleEmphasis"/>
        <w:noProof/>
      </w:rPr>
      <w:t>1</w:t>
    </w:r>
    <w:r w:rsidRPr="0065668E">
      <w:rPr>
        <w:rStyle w:val="SubtleEmphasis"/>
      </w:rPr>
      <w:fldChar w:fldCharType="end"/>
    </w:r>
    <w:r>
      <w:rPr>
        <w:rStyle w:val="SubtleEmphasis"/>
      </w:rPr>
      <w:t>/</w:t>
    </w:r>
    <w:r w:rsidR="00C90230">
      <w:rPr>
        <w:rStyle w:val="SubtleEmphasi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0896" w14:textId="77777777" w:rsidR="00FD574D" w:rsidRPr="00E52663" w:rsidRDefault="00B5109F" w:rsidP="002430F2">
    <w:pPr>
      <w:pStyle w:val="Footer"/>
      <w:jc w:val="center"/>
      <w:rPr>
        <w:sz w:val="10"/>
        <w:szCs w:val="10"/>
      </w:rPr>
    </w:pPr>
  </w:p>
  <w:p w14:paraId="414039DC" w14:textId="491DC0B8" w:rsidR="00FD574D" w:rsidRDefault="00DE1106" w:rsidP="004C69A9">
    <w:pPr>
      <w:pStyle w:val="Footer"/>
      <w:tabs>
        <w:tab w:val="left" w:pos="4485"/>
        <w:tab w:val="center" w:pos="4703"/>
      </w:tabs>
      <w:jc w:val="left"/>
      <w:rPr>
        <w:rStyle w:val="SubtleEmphasis"/>
      </w:rPr>
    </w:pPr>
    <w:r>
      <w:rPr>
        <w:rStyle w:val="SubtleEmphasis"/>
      </w:rPr>
      <w:tab/>
    </w:r>
    <w:r>
      <w:rPr>
        <w:rStyle w:val="SubtleEmphasis"/>
      </w:rPr>
      <w:tab/>
    </w:r>
    <w:r>
      <w:rPr>
        <w:rStyle w:val="SubtleEmphasis"/>
      </w:rPr>
      <w:tab/>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4E65B7">
      <w:rPr>
        <w:rStyle w:val="SubtleEmphasis"/>
        <w:noProof/>
      </w:rPr>
      <w:t>4</w:t>
    </w:r>
    <w:r w:rsidRPr="0065668E">
      <w:rPr>
        <w:rStyle w:val="SubtleEmphasis"/>
      </w:rPr>
      <w:fldChar w:fldCharType="end"/>
    </w:r>
    <w:r>
      <w:rPr>
        <w:rStyle w:val="SubtleEmphasis"/>
      </w:rPr>
      <w:t>/</w:t>
    </w:r>
    <w:r w:rsidR="00C90230">
      <w:rPr>
        <w:rStyle w:val="SubtleEmphasis"/>
      </w:rPr>
      <w:t>4</w:t>
    </w:r>
  </w:p>
  <w:p w14:paraId="57F87ED1" w14:textId="77777777" w:rsidR="00FD574D" w:rsidRPr="002430F2" w:rsidRDefault="00B5109F" w:rsidP="002430F2">
    <w:pPr>
      <w:pStyle w:val="Footer"/>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7BA8" w14:textId="77777777" w:rsidR="004C69A9" w:rsidRDefault="00DE1106" w:rsidP="004C69A9">
    <w:pPr>
      <w:pStyle w:val="Footer"/>
      <w:spacing w:line="720" w:lineRule="auto"/>
      <w:jc w:val="center"/>
    </w:pP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3C0088">
      <w:rPr>
        <w:rStyle w:val="SubtleEmphasis"/>
        <w:noProof/>
      </w:rPr>
      <w:t>4</w:t>
    </w:r>
    <w:r w:rsidRPr="0065668E">
      <w:rPr>
        <w:rStyle w:val="SubtleEmphasis"/>
      </w:rPr>
      <w:fldChar w:fldCharType="end"/>
    </w:r>
    <w:r>
      <w:rPr>
        <w:rStyle w:val="SubtleEmphasis"/>
      </w:rPr>
      <w:t>/</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200B17">
      <w:rPr>
        <w:rStyle w:val="SubtleEmphasis"/>
        <w:noProof/>
      </w:rPr>
      <w:t>4</w:t>
    </w:r>
    <w:r w:rsidRPr="0065668E">
      <w:rPr>
        <w:rStyle w:val="Subtl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99A5" w14:textId="77777777" w:rsidR="001374CA" w:rsidRDefault="001374CA">
      <w:pPr>
        <w:spacing w:line="240" w:lineRule="auto"/>
      </w:pPr>
      <w:r>
        <w:separator/>
      </w:r>
    </w:p>
  </w:footnote>
  <w:footnote w:type="continuationSeparator" w:id="0">
    <w:p w14:paraId="2989E155" w14:textId="77777777" w:rsidR="001374CA" w:rsidRDefault="00137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61A8" w14:textId="77777777" w:rsidR="003C0088" w:rsidRPr="004C1821" w:rsidRDefault="003C0088" w:rsidP="004C1821">
    <w:pPr>
      <w:pStyle w:val="Header"/>
      <w:jc w:val="right"/>
    </w:pPr>
    <w:r>
      <w:rPr>
        <w:noProof/>
        <w:lang w:val="hr-HR" w:eastAsia="hr-HR"/>
      </w:rPr>
      <w:drawing>
        <wp:inline distT="0" distB="0" distL="0" distR="0" wp14:anchorId="518CA5EC" wp14:editId="1BC62966">
          <wp:extent cx="1919220" cy="438150"/>
          <wp:effectExtent l="0" t="0" r="5080" b="0"/>
          <wp:docPr id="1" name="Picture 1"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923862" cy="4392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ABDE" w14:textId="77777777" w:rsidR="003C0088" w:rsidRDefault="003C0088" w:rsidP="004A624B">
    <w:pPr>
      <w:pStyle w:val="Header"/>
      <w:jc w:val="right"/>
    </w:pPr>
    <w:r>
      <w:rPr>
        <w:noProof/>
        <w:lang w:val="hr-HR" w:eastAsia="hr-HR"/>
      </w:rPr>
      <w:drawing>
        <wp:inline distT="0" distB="0" distL="0" distR="0" wp14:anchorId="1C2EFFA7" wp14:editId="52127C17">
          <wp:extent cx="1919220" cy="438150"/>
          <wp:effectExtent l="0" t="0" r="5080" b="0"/>
          <wp:docPr id="2" name="Picture 2"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923862" cy="43921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AB5E" w14:textId="77777777" w:rsidR="004C1821" w:rsidRPr="004C1821" w:rsidRDefault="00DE1106" w:rsidP="004C1821">
    <w:pPr>
      <w:pStyle w:val="Header"/>
      <w:jc w:val="right"/>
    </w:pPr>
    <w:r>
      <w:rPr>
        <w:noProof/>
        <w:lang w:val="hr-HR" w:eastAsia="hr-HR"/>
      </w:rPr>
      <w:drawing>
        <wp:inline distT="0" distB="0" distL="0" distR="0" wp14:anchorId="2A2F50B4" wp14:editId="7437D4C4">
          <wp:extent cx="1919220" cy="438150"/>
          <wp:effectExtent l="0" t="0" r="5080" b="0"/>
          <wp:docPr id="17" name="Picture 17"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923862" cy="43921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7A92" w14:textId="77777777" w:rsidR="004A624B" w:rsidRDefault="00DE1106" w:rsidP="004A624B">
    <w:pPr>
      <w:pStyle w:val="Header"/>
      <w:jc w:val="right"/>
    </w:pPr>
    <w:r>
      <w:rPr>
        <w:noProof/>
        <w:lang w:val="hr-HR" w:eastAsia="hr-HR"/>
      </w:rPr>
      <w:drawing>
        <wp:inline distT="0" distB="0" distL="0" distR="0" wp14:anchorId="1CEA5911" wp14:editId="6567B05F">
          <wp:extent cx="1919220" cy="438150"/>
          <wp:effectExtent l="0" t="0" r="5080" b="0"/>
          <wp:docPr id="18" name="Picture 18"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923862" cy="4392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9A7238"/>
    <w:multiLevelType w:val="multilevel"/>
    <w:tmpl w:val="5414D528"/>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3" w15:restartNumberingAfterBreak="0">
    <w:nsid w:val="405375EF"/>
    <w:multiLevelType w:val="hybridMultilevel"/>
    <w:tmpl w:val="951E3214"/>
    <w:lvl w:ilvl="0" w:tplc="42E242D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8928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42402">
    <w:abstractNumId w:val="1"/>
  </w:num>
  <w:num w:numId="3" w16cid:durableId="1699156901">
    <w:abstractNumId w:val="2"/>
  </w:num>
  <w:num w:numId="4" w16cid:durableId="427889452">
    <w:abstractNumId w:val="2"/>
    <w:lvlOverride w:ilvl="0">
      <w:startOverride w:val="1"/>
      <w:lvl w:ilvl="0">
        <w:start w:val="1"/>
        <w:numFmt w:val="upperRoman"/>
        <w:lvlText w:val="%1."/>
        <w:lvlJc w:val="left"/>
        <w:pPr>
          <w:tabs>
            <w:tab w:val="num" w:pos="360"/>
          </w:tabs>
          <w:ind w:left="360" w:hanging="360"/>
        </w:pPr>
        <w:rPr>
          <w:rFonts w:ascii="Arial" w:eastAsia="Trebuchet MS" w:hAnsi="Arial" w:cs="Arial" w:hint="default"/>
          <w:position w:val="0"/>
          <w:sz w:val="28"/>
          <w:szCs w:val="28"/>
          <w:lang w:val="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 w16cid:durableId="267081365">
    <w:abstractNumId w:val="3"/>
  </w:num>
  <w:num w:numId="6" w16cid:durableId="1385061091">
    <w:abstractNumId w:val="1"/>
  </w:num>
  <w:num w:numId="7" w16cid:durableId="733747487">
    <w:abstractNumId w:val="1"/>
  </w:num>
  <w:num w:numId="8" w16cid:durableId="102193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06"/>
    <w:rsid w:val="00047ACD"/>
    <w:rsid w:val="000831A9"/>
    <w:rsid w:val="000B4EB8"/>
    <w:rsid w:val="000F56F5"/>
    <w:rsid w:val="00100789"/>
    <w:rsid w:val="001374CA"/>
    <w:rsid w:val="001563DF"/>
    <w:rsid w:val="001723B4"/>
    <w:rsid w:val="00200B17"/>
    <w:rsid w:val="00201C12"/>
    <w:rsid w:val="00236F5B"/>
    <w:rsid w:val="00262B48"/>
    <w:rsid w:val="002743BF"/>
    <w:rsid w:val="002A74A5"/>
    <w:rsid w:val="002B25A0"/>
    <w:rsid w:val="00351F28"/>
    <w:rsid w:val="003A5999"/>
    <w:rsid w:val="003A5F4C"/>
    <w:rsid w:val="003B60E9"/>
    <w:rsid w:val="003C0088"/>
    <w:rsid w:val="003C61B0"/>
    <w:rsid w:val="003E42FA"/>
    <w:rsid w:val="003E5536"/>
    <w:rsid w:val="003F4768"/>
    <w:rsid w:val="00451A7E"/>
    <w:rsid w:val="004549F1"/>
    <w:rsid w:val="0045709D"/>
    <w:rsid w:val="00494CB3"/>
    <w:rsid w:val="004B5CB2"/>
    <w:rsid w:val="004E65B7"/>
    <w:rsid w:val="0053615D"/>
    <w:rsid w:val="00574A23"/>
    <w:rsid w:val="00582C05"/>
    <w:rsid w:val="005A194B"/>
    <w:rsid w:val="005A4278"/>
    <w:rsid w:val="005F1F74"/>
    <w:rsid w:val="00606BD2"/>
    <w:rsid w:val="00651559"/>
    <w:rsid w:val="006F5C1F"/>
    <w:rsid w:val="00724587"/>
    <w:rsid w:val="007C3901"/>
    <w:rsid w:val="00853A5B"/>
    <w:rsid w:val="00855C52"/>
    <w:rsid w:val="008951A9"/>
    <w:rsid w:val="008A50F5"/>
    <w:rsid w:val="008B1134"/>
    <w:rsid w:val="00903478"/>
    <w:rsid w:val="009C5777"/>
    <w:rsid w:val="009F1A85"/>
    <w:rsid w:val="00A06F6B"/>
    <w:rsid w:val="00A07735"/>
    <w:rsid w:val="00A250FD"/>
    <w:rsid w:val="00A263D1"/>
    <w:rsid w:val="00A36893"/>
    <w:rsid w:val="00A9566C"/>
    <w:rsid w:val="00AE3B4E"/>
    <w:rsid w:val="00B04370"/>
    <w:rsid w:val="00B5109F"/>
    <w:rsid w:val="00B56DCD"/>
    <w:rsid w:val="00B70957"/>
    <w:rsid w:val="00B95D04"/>
    <w:rsid w:val="00BF2603"/>
    <w:rsid w:val="00C27C65"/>
    <w:rsid w:val="00C31870"/>
    <w:rsid w:val="00C461AD"/>
    <w:rsid w:val="00C50EED"/>
    <w:rsid w:val="00C84298"/>
    <w:rsid w:val="00C90230"/>
    <w:rsid w:val="00CE03E7"/>
    <w:rsid w:val="00D170C7"/>
    <w:rsid w:val="00D2124C"/>
    <w:rsid w:val="00D3581F"/>
    <w:rsid w:val="00D676FD"/>
    <w:rsid w:val="00D859F9"/>
    <w:rsid w:val="00DC6D03"/>
    <w:rsid w:val="00DE1106"/>
    <w:rsid w:val="00E074B6"/>
    <w:rsid w:val="00E26A7C"/>
    <w:rsid w:val="00E9724D"/>
    <w:rsid w:val="00F269C4"/>
    <w:rsid w:val="00F56B4B"/>
    <w:rsid w:val="00F670B4"/>
    <w:rsid w:val="00F75B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AA5BA"/>
  <w15:chartTrackingRefBased/>
  <w15:docId w15:val="{0A1FF537-1E84-445F-929D-0A8CD221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 Normal"/>
    <w:qFormat/>
    <w:rsid w:val="00DE1106"/>
    <w:pPr>
      <w:spacing w:after="0" w:line="264" w:lineRule="auto"/>
      <w:jc w:val="both"/>
    </w:pPr>
    <w:rPr>
      <w:rFonts w:ascii="Calibri" w:eastAsiaTheme="minorEastAsia" w:hAnsi="Calibri"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106"/>
    <w:pPr>
      <w:tabs>
        <w:tab w:val="center" w:pos="4513"/>
        <w:tab w:val="right" w:pos="9026"/>
      </w:tabs>
    </w:pPr>
  </w:style>
  <w:style w:type="character" w:customStyle="1" w:styleId="HeaderChar">
    <w:name w:val="Header Char"/>
    <w:basedOn w:val="DefaultParagraphFont"/>
    <w:link w:val="Header"/>
    <w:rsid w:val="00DE1106"/>
    <w:rPr>
      <w:rFonts w:ascii="Calibri" w:eastAsiaTheme="minorEastAsia" w:hAnsi="Calibri" w:cs="Times New Roman"/>
      <w:sz w:val="24"/>
      <w:szCs w:val="24"/>
      <w:lang w:val="en-GB" w:eastAsia="en-GB"/>
    </w:rPr>
  </w:style>
  <w:style w:type="paragraph" w:styleId="Footer">
    <w:name w:val="footer"/>
    <w:basedOn w:val="Normal"/>
    <w:link w:val="FooterChar"/>
    <w:uiPriority w:val="99"/>
    <w:unhideWhenUsed/>
    <w:rsid w:val="00DE1106"/>
    <w:pPr>
      <w:tabs>
        <w:tab w:val="center" w:pos="4513"/>
        <w:tab w:val="right" w:pos="9026"/>
      </w:tabs>
    </w:pPr>
  </w:style>
  <w:style w:type="character" w:customStyle="1" w:styleId="FooterChar">
    <w:name w:val="Footer Char"/>
    <w:basedOn w:val="DefaultParagraphFont"/>
    <w:link w:val="Footer"/>
    <w:uiPriority w:val="99"/>
    <w:rsid w:val="00DE1106"/>
    <w:rPr>
      <w:rFonts w:ascii="Calibri" w:eastAsiaTheme="minorEastAsia" w:hAnsi="Calibri" w:cs="Times New Roman"/>
      <w:sz w:val="24"/>
      <w:szCs w:val="24"/>
      <w:lang w:val="en-GB" w:eastAsia="en-GB"/>
    </w:rPr>
  </w:style>
  <w:style w:type="paragraph" w:customStyle="1" w:styleId="Text1">
    <w:name w:val="Text 1"/>
    <w:basedOn w:val="Normal"/>
    <w:rsid w:val="00DE1106"/>
    <w:pPr>
      <w:widowControl w:val="0"/>
      <w:spacing w:line="360" w:lineRule="auto"/>
      <w:ind w:left="850" w:right="-22"/>
    </w:pPr>
    <w:rPr>
      <w:rFonts w:ascii="Arial" w:eastAsia="Times New Roman" w:hAnsi="Arial"/>
      <w:sz w:val="20"/>
      <w:szCs w:val="20"/>
    </w:rPr>
  </w:style>
  <w:style w:type="character" w:styleId="SubtleEmphasis">
    <w:name w:val="Subtle Emphasis"/>
    <w:aliases w:val="E Footer,ENTSOG Footer"/>
    <w:uiPriority w:val="19"/>
    <w:rsid w:val="00DE1106"/>
    <w:rPr>
      <w:rFonts w:ascii="Calibri" w:hAnsi="Calibri"/>
      <w:i/>
      <w:iCs/>
      <w:color w:val="auto"/>
      <w:sz w:val="18"/>
      <w:lang w:val="en-GB"/>
    </w:rPr>
  </w:style>
  <w:style w:type="paragraph" w:customStyle="1" w:styleId="NumPar1">
    <w:name w:val="NumPar 1"/>
    <w:basedOn w:val="Normal"/>
    <w:next w:val="Text1"/>
    <w:rsid w:val="00DE1106"/>
    <w:pPr>
      <w:numPr>
        <w:numId w:val="2"/>
      </w:numPr>
      <w:spacing w:before="120" w:after="120" w:line="240" w:lineRule="auto"/>
    </w:pPr>
    <w:rPr>
      <w:rFonts w:ascii="Times New Roman" w:eastAsia="Times New Roman" w:hAnsi="Times New Roman"/>
      <w:szCs w:val="22"/>
    </w:rPr>
  </w:style>
  <w:style w:type="paragraph" w:customStyle="1" w:styleId="NumPar2">
    <w:name w:val="NumPar 2"/>
    <w:basedOn w:val="Normal"/>
    <w:next w:val="Text1"/>
    <w:rsid w:val="00DE1106"/>
    <w:pPr>
      <w:numPr>
        <w:ilvl w:val="1"/>
        <w:numId w:val="2"/>
      </w:numPr>
      <w:spacing w:before="120" w:after="120" w:line="240" w:lineRule="auto"/>
    </w:pPr>
    <w:rPr>
      <w:rFonts w:ascii="Times New Roman" w:eastAsia="Times New Roman" w:hAnsi="Times New Roman"/>
      <w:szCs w:val="22"/>
    </w:rPr>
  </w:style>
  <w:style w:type="paragraph" w:customStyle="1" w:styleId="NumPar3">
    <w:name w:val="NumPar 3"/>
    <w:basedOn w:val="Normal"/>
    <w:next w:val="Text1"/>
    <w:rsid w:val="00DE1106"/>
    <w:pPr>
      <w:numPr>
        <w:ilvl w:val="2"/>
        <w:numId w:val="2"/>
      </w:numPr>
      <w:spacing w:before="120" w:after="120" w:line="240" w:lineRule="auto"/>
    </w:pPr>
    <w:rPr>
      <w:rFonts w:ascii="Times New Roman" w:eastAsia="Times New Roman" w:hAnsi="Times New Roman"/>
      <w:szCs w:val="22"/>
    </w:rPr>
  </w:style>
  <w:style w:type="paragraph" w:customStyle="1" w:styleId="NumPar4">
    <w:name w:val="NumPar 4"/>
    <w:basedOn w:val="Normal"/>
    <w:next w:val="Text1"/>
    <w:rsid w:val="00DE1106"/>
    <w:pPr>
      <w:numPr>
        <w:ilvl w:val="3"/>
        <w:numId w:val="2"/>
      </w:numPr>
      <w:spacing w:before="120" w:after="120" w:line="240" w:lineRule="auto"/>
    </w:pPr>
    <w:rPr>
      <w:rFonts w:ascii="Times New Roman" w:eastAsia="Times New Roman" w:hAnsi="Times New Roman"/>
      <w:szCs w:val="22"/>
    </w:rPr>
  </w:style>
  <w:style w:type="paragraph" w:customStyle="1" w:styleId="Point0number">
    <w:name w:val="Point 0 (number)"/>
    <w:basedOn w:val="Normal"/>
    <w:rsid w:val="00DE1106"/>
    <w:pPr>
      <w:numPr>
        <w:numId w:val="1"/>
      </w:numPr>
      <w:spacing w:before="120" w:after="120" w:line="240" w:lineRule="auto"/>
    </w:pPr>
    <w:rPr>
      <w:rFonts w:ascii="Times New Roman" w:eastAsia="Times New Roman" w:hAnsi="Times New Roman"/>
      <w:szCs w:val="22"/>
    </w:rPr>
  </w:style>
  <w:style w:type="paragraph" w:customStyle="1" w:styleId="Point1number">
    <w:name w:val="Point 1 (number)"/>
    <w:basedOn w:val="Normal"/>
    <w:rsid w:val="00DE1106"/>
    <w:pPr>
      <w:numPr>
        <w:ilvl w:val="2"/>
        <w:numId w:val="1"/>
      </w:numPr>
      <w:spacing w:before="120" w:after="120" w:line="240" w:lineRule="auto"/>
    </w:pPr>
    <w:rPr>
      <w:rFonts w:ascii="Times New Roman" w:eastAsia="Times New Roman" w:hAnsi="Times New Roman"/>
      <w:szCs w:val="22"/>
    </w:rPr>
  </w:style>
  <w:style w:type="paragraph" w:customStyle="1" w:styleId="Point2number">
    <w:name w:val="Point 2 (number)"/>
    <w:basedOn w:val="Normal"/>
    <w:rsid w:val="00DE1106"/>
    <w:pPr>
      <w:numPr>
        <w:ilvl w:val="4"/>
        <w:numId w:val="1"/>
      </w:numPr>
      <w:spacing w:before="120" w:after="120" w:line="240" w:lineRule="auto"/>
    </w:pPr>
    <w:rPr>
      <w:rFonts w:ascii="Times New Roman" w:eastAsia="Times New Roman" w:hAnsi="Times New Roman"/>
      <w:szCs w:val="22"/>
    </w:rPr>
  </w:style>
  <w:style w:type="paragraph" w:customStyle="1" w:styleId="Point3number">
    <w:name w:val="Point 3 (number)"/>
    <w:basedOn w:val="Normal"/>
    <w:rsid w:val="00DE1106"/>
    <w:pPr>
      <w:numPr>
        <w:ilvl w:val="6"/>
        <w:numId w:val="1"/>
      </w:numPr>
      <w:spacing w:before="120" w:after="120" w:line="240" w:lineRule="auto"/>
    </w:pPr>
    <w:rPr>
      <w:rFonts w:ascii="Times New Roman" w:eastAsia="Times New Roman" w:hAnsi="Times New Roman"/>
      <w:szCs w:val="22"/>
    </w:rPr>
  </w:style>
  <w:style w:type="paragraph" w:customStyle="1" w:styleId="Point0letter">
    <w:name w:val="Point 0 (letter)"/>
    <w:basedOn w:val="Normal"/>
    <w:rsid w:val="00DE1106"/>
    <w:pPr>
      <w:numPr>
        <w:ilvl w:val="1"/>
        <w:numId w:val="1"/>
      </w:numPr>
      <w:spacing w:before="120" w:after="120" w:line="240" w:lineRule="auto"/>
    </w:pPr>
    <w:rPr>
      <w:rFonts w:ascii="Times New Roman" w:eastAsia="Times New Roman" w:hAnsi="Times New Roman"/>
      <w:szCs w:val="22"/>
    </w:rPr>
  </w:style>
  <w:style w:type="paragraph" w:customStyle="1" w:styleId="Point1letter">
    <w:name w:val="Point 1 (letter)"/>
    <w:basedOn w:val="Normal"/>
    <w:rsid w:val="00DE1106"/>
    <w:pPr>
      <w:numPr>
        <w:ilvl w:val="3"/>
        <w:numId w:val="1"/>
      </w:numPr>
      <w:spacing w:before="120" w:after="120" w:line="240" w:lineRule="auto"/>
    </w:pPr>
    <w:rPr>
      <w:rFonts w:ascii="Times New Roman" w:eastAsia="Times New Roman" w:hAnsi="Times New Roman"/>
      <w:szCs w:val="22"/>
    </w:rPr>
  </w:style>
  <w:style w:type="paragraph" w:customStyle="1" w:styleId="Point2letter">
    <w:name w:val="Point 2 (letter)"/>
    <w:basedOn w:val="Normal"/>
    <w:rsid w:val="00DE1106"/>
    <w:pPr>
      <w:numPr>
        <w:ilvl w:val="5"/>
        <w:numId w:val="1"/>
      </w:numPr>
      <w:spacing w:before="120" w:after="120" w:line="240" w:lineRule="auto"/>
    </w:pPr>
    <w:rPr>
      <w:rFonts w:ascii="Times New Roman" w:eastAsia="Times New Roman" w:hAnsi="Times New Roman"/>
      <w:szCs w:val="22"/>
    </w:rPr>
  </w:style>
  <w:style w:type="paragraph" w:customStyle="1" w:styleId="Point3letter">
    <w:name w:val="Point 3 (letter)"/>
    <w:basedOn w:val="Normal"/>
    <w:rsid w:val="00DE1106"/>
    <w:pPr>
      <w:numPr>
        <w:ilvl w:val="7"/>
        <w:numId w:val="1"/>
      </w:numPr>
      <w:spacing w:before="120" w:after="120" w:line="240" w:lineRule="auto"/>
    </w:pPr>
    <w:rPr>
      <w:rFonts w:ascii="Times New Roman" w:eastAsia="Times New Roman" w:hAnsi="Times New Roman"/>
      <w:szCs w:val="22"/>
    </w:rPr>
  </w:style>
  <w:style w:type="paragraph" w:customStyle="1" w:styleId="Point4letter">
    <w:name w:val="Point 4 (letter)"/>
    <w:basedOn w:val="Normal"/>
    <w:rsid w:val="00DE1106"/>
    <w:pPr>
      <w:numPr>
        <w:ilvl w:val="8"/>
        <w:numId w:val="1"/>
      </w:numPr>
      <w:spacing w:before="120" w:after="120" w:line="240" w:lineRule="auto"/>
    </w:pPr>
    <w:rPr>
      <w:rFonts w:ascii="Times New Roman" w:eastAsia="Times New Roman" w:hAnsi="Times New Roman"/>
      <w:szCs w:val="22"/>
    </w:rPr>
  </w:style>
  <w:style w:type="paragraph" w:styleId="Signature">
    <w:name w:val="Signature"/>
    <w:link w:val="SignatureChar"/>
    <w:uiPriority w:val="99"/>
    <w:unhideWhenUsed/>
    <w:rsid w:val="00DE1106"/>
    <w:pPr>
      <w:spacing w:after="200" w:line="276" w:lineRule="auto"/>
    </w:pPr>
    <w:rPr>
      <w:rFonts w:ascii="Calibri" w:eastAsia="Calibri" w:hAnsi="Calibri" w:cs="Calibri"/>
      <w:color w:val="000000"/>
      <w:u w:color="000000"/>
      <w:lang w:val="en-US"/>
    </w:rPr>
  </w:style>
  <w:style w:type="character" w:customStyle="1" w:styleId="SignatureChar">
    <w:name w:val="Signature Char"/>
    <w:basedOn w:val="DefaultParagraphFont"/>
    <w:link w:val="Signature"/>
    <w:uiPriority w:val="99"/>
    <w:rsid w:val="00DE1106"/>
    <w:rPr>
      <w:rFonts w:ascii="Calibri" w:eastAsia="Calibri" w:hAnsi="Calibri" w:cs="Calibri"/>
      <w:color w:val="000000"/>
      <w:u w:color="000000"/>
      <w:lang w:val="en-US"/>
    </w:rPr>
  </w:style>
  <w:style w:type="paragraph" w:customStyle="1" w:styleId="Brdtekst">
    <w:name w:val="Brødtekst"/>
    <w:rsid w:val="00DE1106"/>
    <w:pPr>
      <w:spacing w:after="0" w:line="264" w:lineRule="auto"/>
      <w:jc w:val="both"/>
    </w:pPr>
    <w:rPr>
      <w:rFonts w:ascii="Calibri" w:eastAsia="Calibri" w:hAnsi="Calibri" w:cs="Calibri"/>
      <w:color w:val="000000"/>
      <w:sz w:val="24"/>
      <w:szCs w:val="24"/>
      <w:u w:color="000000"/>
      <w:lang w:val="en-US"/>
    </w:rPr>
  </w:style>
  <w:style w:type="numbering" w:customStyle="1" w:styleId="List0">
    <w:name w:val="List 0"/>
    <w:rsid w:val="00DE1106"/>
    <w:pPr>
      <w:numPr>
        <w:numId w:val="3"/>
      </w:numPr>
    </w:pPr>
  </w:style>
  <w:style w:type="paragraph" w:styleId="BalloonText">
    <w:name w:val="Balloon Text"/>
    <w:basedOn w:val="Normal"/>
    <w:link w:val="BalloonTextChar"/>
    <w:uiPriority w:val="99"/>
    <w:semiHidden/>
    <w:unhideWhenUsed/>
    <w:rsid w:val="008A50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F5"/>
    <w:rPr>
      <w:rFonts w:ascii="Segoe UI" w:eastAsiaTheme="minorEastAsia" w:hAnsi="Segoe UI" w:cs="Segoe UI"/>
      <w:sz w:val="18"/>
      <w:szCs w:val="18"/>
      <w:lang w:val="en-GB" w:eastAsia="en-GB"/>
    </w:rPr>
  </w:style>
  <w:style w:type="character" w:styleId="Hyperlink">
    <w:name w:val="Hyperlink"/>
    <w:basedOn w:val="DefaultParagraphFont"/>
    <w:uiPriority w:val="99"/>
    <w:unhideWhenUsed/>
    <w:rsid w:val="000B4EB8"/>
    <w:rPr>
      <w:color w:val="0563C1" w:themeColor="hyperlink"/>
      <w:u w:val="single"/>
    </w:rPr>
  </w:style>
  <w:style w:type="character" w:styleId="FollowedHyperlink">
    <w:name w:val="FollowedHyperlink"/>
    <w:basedOn w:val="DefaultParagraphFont"/>
    <w:uiPriority w:val="99"/>
    <w:semiHidden/>
    <w:unhideWhenUsed/>
    <w:rsid w:val="00201C12"/>
    <w:rPr>
      <w:color w:val="954F72" w:themeColor="followedHyperlink"/>
      <w:u w:val="single"/>
    </w:rPr>
  </w:style>
  <w:style w:type="paragraph" w:styleId="ListParagraph">
    <w:name w:val="List Paragraph"/>
    <w:basedOn w:val="Normal"/>
    <w:uiPriority w:val="34"/>
    <w:qFormat/>
    <w:rsid w:val="005A4278"/>
    <w:pPr>
      <w:ind w:left="720"/>
      <w:contextualSpacing/>
    </w:pPr>
  </w:style>
  <w:style w:type="character" w:styleId="CommentReference">
    <w:name w:val="annotation reference"/>
    <w:basedOn w:val="DefaultParagraphFont"/>
    <w:uiPriority w:val="99"/>
    <w:semiHidden/>
    <w:unhideWhenUsed/>
    <w:rsid w:val="001563DF"/>
    <w:rPr>
      <w:sz w:val="16"/>
      <w:szCs w:val="16"/>
    </w:rPr>
  </w:style>
  <w:style w:type="paragraph" w:styleId="CommentText">
    <w:name w:val="annotation text"/>
    <w:basedOn w:val="Normal"/>
    <w:link w:val="CommentTextChar"/>
    <w:uiPriority w:val="99"/>
    <w:semiHidden/>
    <w:unhideWhenUsed/>
    <w:rsid w:val="001563DF"/>
    <w:pPr>
      <w:spacing w:line="240" w:lineRule="auto"/>
    </w:pPr>
    <w:rPr>
      <w:sz w:val="20"/>
      <w:szCs w:val="20"/>
    </w:rPr>
  </w:style>
  <w:style w:type="character" w:customStyle="1" w:styleId="CommentTextChar">
    <w:name w:val="Comment Text Char"/>
    <w:basedOn w:val="DefaultParagraphFont"/>
    <w:link w:val="CommentText"/>
    <w:uiPriority w:val="99"/>
    <w:semiHidden/>
    <w:rsid w:val="001563DF"/>
    <w:rPr>
      <w:rFonts w:ascii="Calibri" w:eastAsiaTheme="minorEastAsia"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563DF"/>
    <w:rPr>
      <w:b/>
      <w:bCs/>
    </w:rPr>
  </w:style>
  <w:style w:type="character" w:customStyle="1" w:styleId="CommentSubjectChar">
    <w:name w:val="Comment Subject Char"/>
    <w:basedOn w:val="CommentTextChar"/>
    <w:link w:val="CommentSubject"/>
    <w:uiPriority w:val="99"/>
    <w:semiHidden/>
    <w:rsid w:val="001563DF"/>
    <w:rPr>
      <w:rFonts w:ascii="Calibri" w:eastAsiaTheme="minorEastAsia" w:hAnsi="Calibri" w:cs="Times New Roman"/>
      <w:b/>
      <w:bCs/>
      <w:sz w:val="20"/>
      <w:szCs w:val="20"/>
      <w:lang w:val="en-GB" w:eastAsia="en-GB"/>
    </w:rPr>
  </w:style>
  <w:style w:type="character" w:styleId="UnresolvedMention">
    <w:name w:val="Unresolved Mention"/>
    <w:basedOn w:val="DefaultParagraphFont"/>
    <w:uiPriority w:val="99"/>
    <w:semiHidden/>
    <w:unhideWhenUsed/>
    <w:rsid w:val="00C90230"/>
    <w:rPr>
      <w:color w:val="605E5C"/>
      <w:shd w:val="clear" w:color="auto" w:fill="E1DFDD"/>
    </w:rPr>
  </w:style>
  <w:style w:type="paragraph" w:styleId="Revision">
    <w:name w:val="Revision"/>
    <w:hidden/>
    <w:uiPriority w:val="99"/>
    <w:semiHidden/>
    <w:rsid w:val="00E9724D"/>
    <w:pPr>
      <w:spacing w:after="0" w:line="240" w:lineRule="auto"/>
    </w:pPr>
    <w:rPr>
      <w:rFonts w:ascii="Calibri" w:eastAsiaTheme="minorEastAsia" w:hAnsi="Calibri"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F56D-496C-4F89-BF87-1BDF052C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Tamara</dc:creator>
  <cp:keywords/>
  <dc:description/>
  <cp:lastModifiedBy>Belamarić Branka</cp:lastModifiedBy>
  <cp:revision>3</cp:revision>
  <cp:lastPrinted>2019-07-02T11:59:00Z</cp:lastPrinted>
  <dcterms:created xsi:type="dcterms:W3CDTF">2022-06-28T06:21:00Z</dcterms:created>
  <dcterms:modified xsi:type="dcterms:W3CDTF">2022-06-28T11:04:00Z</dcterms:modified>
</cp:coreProperties>
</file>